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47ECF" w14:textId="35986EDC" w:rsidR="005E2DC7" w:rsidRPr="003D632A" w:rsidRDefault="00537463">
      <w:pPr>
        <w:rPr>
          <w:rFonts w:ascii="Lato" w:hAnsi="Lato"/>
          <w:b/>
          <w:bCs/>
          <w:sz w:val="22"/>
          <w:szCs w:val="22"/>
        </w:rPr>
      </w:pPr>
      <w:bookmarkStart w:id="0" w:name="_GoBack"/>
      <w:bookmarkEnd w:id="0"/>
      <w:r w:rsidRPr="003D632A">
        <w:rPr>
          <w:rFonts w:ascii="Lato" w:hAnsi="Lato"/>
          <w:b/>
          <w:bCs/>
          <w:sz w:val="22"/>
          <w:szCs w:val="22"/>
        </w:rPr>
        <w:t xml:space="preserve">IN THE MATTER OF AN INQUIRY </w:t>
      </w:r>
    </w:p>
    <w:p w14:paraId="33E1BBB3" w14:textId="33C37208" w:rsidR="00537463" w:rsidRPr="003D632A" w:rsidRDefault="00537463">
      <w:pPr>
        <w:rPr>
          <w:rFonts w:ascii="Lato" w:hAnsi="Lato"/>
          <w:b/>
          <w:bCs/>
          <w:sz w:val="22"/>
          <w:szCs w:val="22"/>
        </w:rPr>
      </w:pPr>
      <w:r w:rsidRPr="003D632A">
        <w:rPr>
          <w:rFonts w:ascii="Lato" w:hAnsi="Lato"/>
          <w:b/>
          <w:bCs/>
          <w:sz w:val="22"/>
          <w:szCs w:val="22"/>
        </w:rPr>
        <w:t xml:space="preserve">PURSUANT TO S </w:t>
      </w:r>
      <w:r w:rsidR="004E0B3F" w:rsidRPr="003D632A">
        <w:rPr>
          <w:rFonts w:ascii="Lato" w:hAnsi="Lato"/>
          <w:b/>
          <w:bCs/>
          <w:sz w:val="22"/>
          <w:szCs w:val="22"/>
        </w:rPr>
        <w:t xml:space="preserve">30 (1) (b) &amp; </w:t>
      </w:r>
      <w:r w:rsidRPr="003D632A">
        <w:rPr>
          <w:rFonts w:ascii="Lato" w:hAnsi="Lato"/>
          <w:b/>
          <w:bCs/>
          <w:sz w:val="22"/>
          <w:szCs w:val="22"/>
        </w:rPr>
        <w:t xml:space="preserve">77 OF THE </w:t>
      </w:r>
    </w:p>
    <w:p w14:paraId="250C0600" w14:textId="0D6DEC07" w:rsidR="00537463" w:rsidRPr="003D632A" w:rsidRDefault="00537463">
      <w:pPr>
        <w:rPr>
          <w:rFonts w:ascii="Lato" w:hAnsi="Lato"/>
          <w:b/>
          <w:bCs/>
          <w:i/>
          <w:sz w:val="22"/>
          <w:szCs w:val="22"/>
        </w:rPr>
      </w:pPr>
      <w:r w:rsidRPr="003D632A">
        <w:rPr>
          <w:rFonts w:ascii="Lato" w:hAnsi="Lato"/>
          <w:b/>
          <w:bCs/>
          <w:i/>
          <w:sz w:val="22"/>
          <w:szCs w:val="22"/>
        </w:rPr>
        <w:t>AGENTS LICENSING ACT 1979</w:t>
      </w:r>
    </w:p>
    <w:p w14:paraId="5F25752F" w14:textId="7CE6F8F6" w:rsidR="005E2DC7" w:rsidRPr="003D632A" w:rsidRDefault="00537463">
      <w:pPr>
        <w:rPr>
          <w:rFonts w:ascii="Lato" w:hAnsi="Lato"/>
          <w:b/>
          <w:bCs/>
          <w:sz w:val="22"/>
          <w:szCs w:val="22"/>
        </w:rPr>
      </w:pPr>
      <w:r w:rsidRPr="003D632A">
        <w:rPr>
          <w:rFonts w:ascii="Lato" w:hAnsi="Lato"/>
          <w:b/>
          <w:bCs/>
          <w:sz w:val="22"/>
          <w:szCs w:val="22"/>
        </w:rPr>
        <w:t>INTO THE GRANT OF A REAL ESTATE</w:t>
      </w:r>
    </w:p>
    <w:p w14:paraId="43E9FB57" w14:textId="02D4776A" w:rsidR="00537463" w:rsidRPr="003D632A" w:rsidRDefault="00537463">
      <w:pPr>
        <w:rPr>
          <w:rFonts w:ascii="Lato" w:hAnsi="Lato"/>
          <w:b/>
          <w:bCs/>
          <w:sz w:val="22"/>
          <w:szCs w:val="22"/>
        </w:rPr>
      </w:pPr>
      <w:r w:rsidRPr="003D632A">
        <w:rPr>
          <w:rFonts w:ascii="Lato" w:hAnsi="Lato"/>
          <w:b/>
          <w:bCs/>
          <w:sz w:val="22"/>
          <w:szCs w:val="22"/>
        </w:rPr>
        <w:t>AGENT’S LICEN</w:t>
      </w:r>
      <w:r w:rsidR="00713A4A" w:rsidRPr="003D632A">
        <w:rPr>
          <w:rFonts w:ascii="Lato" w:hAnsi="Lato"/>
          <w:b/>
          <w:bCs/>
          <w:sz w:val="22"/>
          <w:szCs w:val="22"/>
        </w:rPr>
        <w:t>CE</w:t>
      </w:r>
    </w:p>
    <w:p w14:paraId="5B5D5D39" w14:textId="43D417EF" w:rsidR="00537463" w:rsidRPr="003D632A" w:rsidRDefault="00537463">
      <w:pPr>
        <w:rPr>
          <w:rFonts w:ascii="Lato" w:hAnsi="Lato"/>
          <w:sz w:val="22"/>
          <w:szCs w:val="22"/>
        </w:rPr>
      </w:pPr>
    </w:p>
    <w:p w14:paraId="3AA70451" w14:textId="77777777" w:rsidR="00C66249" w:rsidRPr="003D632A" w:rsidRDefault="00C66249">
      <w:pPr>
        <w:rPr>
          <w:rFonts w:ascii="Lato" w:hAnsi="Lato"/>
          <w:sz w:val="22"/>
          <w:szCs w:val="22"/>
        </w:rPr>
      </w:pPr>
    </w:p>
    <w:p w14:paraId="2E84C533" w14:textId="5232CE5D" w:rsidR="00537463" w:rsidRPr="003D632A" w:rsidRDefault="00ED4249">
      <w:pPr>
        <w:rPr>
          <w:rFonts w:ascii="Lato" w:hAnsi="Lato"/>
          <w:sz w:val="22"/>
          <w:szCs w:val="22"/>
        </w:rPr>
      </w:pPr>
      <w:r w:rsidRPr="003D632A">
        <w:rPr>
          <w:rFonts w:ascii="Lato" w:hAnsi="Lato"/>
          <w:sz w:val="22"/>
          <w:szCs w:val="22"/>
        </w:rPr>
        <w:t>APPLICANT</w:t>
      </w:r>
      <w:r w:rsidR="00537463" w:rsidRPr="003D632A">
        <w:rPr>
          <w:rFonts w:ascii="Lato" w:hAnsi="Lato"/>
          <w:sz w:val="22"/>
          <w:szCs w:val="22"/>
        </w:rPr>
        <w:t xml:space="preserve"> : </w:t>
      </w:r>
      <w:r w:rsidR="00537463" w:rsidRPr="003D632A">
        <w:rPr>
          <w:rFonts w:ascii="Lato" w:hAnsi="Lato"/>
          <w:sz w:val="22"/>
          <w:szCs w:val="22"/>
        </w:rPr>
        <w:tab/>
      </w:r>
      <w:r w:rsidR="00537463" w:rsidRPr="003D632A">
        <w:rPr>
          <w:rFonts w:ascii="Lato" w:hAnsi="Lato"/>
          <w:sz w:val="22"/>
          <w:szCs w:val="22"/>
        </w:rPr>
        <w:tab/>
      </w:r>
      <w:r w:rsidR="00537463" w:rsidRPr="003D632A">
        <w:rPr>
          <w:rFonts w:ascii="Lato" w:hAnsi="Lato"/>
          <w:sz w:val="22"/>
          <w:szCs w:val="22"/>
        </w:rPr>
        <w:tab/>
      </w:r>
      <w:r w:rsidR="00537463" w:rsidRPr="003D632A">
        <w:rPr>
          <w:rFonts w:ascii="Lato" w:hAnsi="Lato"/>
          <w:sz w:val="22"/>
          <w:szCs w:val="22"/>
        </w:rPr>
        <w:tab/>
      </w:r>
      <w:r w:rsidR="00537463" w:rsidRPr="003D632A">
        <w:rPr>
          <w:rFonts w:ascii="Lato" w:hAnsi="Lato"/>
          <w:sz w:val="22"/>
          <w:szCs w:val="22"/>
        </w:rPr>
        <w:tab/>
        <w:t xml:space="preserve">KARL SECONDIS </w:t>
      </w:r>
    </w:p>
    <w:p w14:paraId="5AF671E1" w14:textId="76D14945" w:rsidR="00537463" w:rsidRPr="003D632A" w:rsidRDefault="00537463">
      <w:pPr>
        <w:rPr>
          <w:rFonts w:ascii="Lato" w:hAnsi="Lato"/>
          <w:sz w:val="22"/>
          <w:szCs w:val="22"/>
        </w:rPr>
      </w:pPr>
    </w:p>
    <w:p w14:paraId="4C3BA618" w14:textId="77777777" w:rsidR="00085F66" w:rsidRPr="003D632A" w:rsidRDefault="00085F66">
      <w:pPr>
        <w:rPr>
          <w:rFonts w:ascii="Lato" w:hAnsi="Lato"/>
          <w:sz w:val="22"/>
          <w:szCs w:val="22"/>
        </w:rPr>
      </w:pPr>
    </w:p>
    <w:p w14:paraId="22878A8D" w14:textId="2038E3B6" w:rsidR="00341025" w:rsidRPr="003D632A" w:rsidRDefault="004E0B3F">
      <w:pPr>
        <w:rPr>
          <w:rFonts w:ascii="Lato" w:hAnsi="Lato"/>
          <w:sz w:val="22"/>
          <w:szCs w:val="22"/>
        </w:rPr>
      </w:pPr>
      <w:r w:rsidRPr="003D632A">
        <w:rPr>
          <w:rFonts w:ascii="Lato" w:hAnsi="Lato"/>
          <w:sz w:val="22"/>
          <w:szCs w:val="22"/>
        </w:rPr>
        <w:t>DATE</w:t>
      </w:r>
      <w:r w:rsidR="00341025" w:rsidRPr="003D632A">
        <w:rPr>
          <w:rFonts w:ascii="Lato" w:hAnsi="Lato"/>
          <w:sz w:val="22"/>
          <w:szCs w:val="22"/>
        </w:rPr>
        <w:t xml:space="preserve"> </w:t>
      </w:r>
      <w:r w:rsidR="00443BAE" w:rsidRPr="003D632A">
        <w:rPr>
          <w:rFonts w:ascii="Lato" w:hAnsi="Lato"/>
          <w:sz w:val="22"/>
          <w:szCs w:val="22"/>
        </w:rPr>
        <w:t>OF HEARING</w:t>
      </w:r>
      <w:r w:rsidR="003D632A">
        <w:rPr>
          <w:rFonts w:ascii="Lato" w:hAnsi="Lato"/>
          <w:sz w:val="22"/>
          <w:szCs w:val="22"/>
        </w:rPr>
        <w:t>S</w:t>
      </w:r>
      <w:r w:rsidR="00443BAE" w:rsidRPr="003D632A">
        <w:rPr>
          <w:rFonts w:ascii="Lato" w:hAnsi="Lato"/>
          <w:sz w:val="22"/>
          <w:szCs w:val="22"/>
        </w:rPr>
        <w:t xml:space="preserve">: </w:t>
      </w:r>
      <w:r w:rsidR="00443BAE" w:rsidRPr="003D632A">
        <w:rPr>
          <w:rFonts w:ascii="Lato" w:hAnsi="Lato"/>
          <w:sz w:val="22"/>
          <w:szCs w:val="22"/>
        </w:rPr>
        <w:tab/>
      </w:r>
      <w:r w:rsidR="00443BAE" w:rsidRPr="003D632A">
        <w:rPr>
          <w:rFonts w:ascii="Lato" w:hAnsi="Lato"/>
          <w:sz w:val="22"/>
          <w:szCs w:val="22"/>
        </w:rPr>
        <w:tab/>
      </w:r>
      <w:r w:rsidR="00443BAE" w:rsidRPr="003D632A">
        <w:rPr>
          <w:rFonts w:ascii="Lato" w:hAnsi="Lato"/>
          <w:sz w:val="22"/>
          <w:szCs w:val="22"/>
        </w:rPr>
        <w:tab/>
      </w:r>
      <w:r w:rsidR="00341025" w:rsidRPr="003D632A">
        <w:rPr>
          <w:rFonts w:ascii="Lato" w:hAnsi="Lato"/>
          <w:sz w:val="22"/>
          <w:szCs w:val="22"/>
        </w:rPr>
        <w:t>1 OCTOBER 2021</w:t>
      </w:r>
    </w:p>
    <w:p w14:paraId="35F81C6C" w14:textId="3DB34C6B" w:rsidR="001C5581" w:rsidRPr="003D632A" w:rsidRDefault="00443BAE" w:rsidP="00341025">
      <w:pPr>
        <w:ind w:left="3600" w:firstLine="720"/>
        <w:rPr>
          <w:rFonts w:ascii="Lato" w:hAnsi="Lato"/>
          <w:sz w:val="22"/>
          <w:szCs w:val="22"/>
        </w:rPr>
      </w:pPr>
      <w:r w:rsidRPr="003D632A">
        <w:rPr>
          <w:rFonts w:ascii="Lato" w:hAnsi="Lato"/>
          <w:sz w:val="22"/>
          <w:szCs w:val="22"/>
        </w:rPr>
        <w:t>25 NOVEMBER 2021</w:t>
      </w:r>
      <w:r w:rsidR="00537463" w:rsidRPr="003D632A">
        <w:rPr>
          <w:rFonts w:ascii="Lato" w:hAnsi="Lato"/>
          <w:sz w:val="22"/>
          <w:szCs w:val="22"/>
        </w:rPr>
        <w:tab/>
      </w:r>
      <w:r w:rsidR="001C5581" w:rsidRPr="003D632A">
        <w:rPr>
          <w:rFonts w:ascii="Lato" w:hAnsi="Lato"/>
          <w:sz w:val="22"/>
          <w:szCs w:val="22"/>
        </w:rPr>
        <w:t xml:space="preserve">&amp; </w:t>
      </w:r>
    </w:p>
    <w:p w14:paraId="783BA857" w14:textId="3C2463BF" w:rsidR="001C5581" w:rsidRPr="003D632A" w:rsidRDefault="001C5581">
      <w:pPr>
        <w:rPr>
          <w:rFonts w:ascii="Lato" w:hAnsi="Lato"/>
          <w:sz w:val="22"/>
          <w:szCs w:val="22"/>
        </w:rPr>
      </w:pPr>
      <w:r w:rsidRPr="003D632A">
        <w:rPr>
          <w:rFonts w:ascii="Lato" w:hAnsi="Lato"/>
          <w:sz w:val="22"/>
          <w:szCs w:val="22"/>
        </w:rPr>
        <w:tab/>
      </w:r>
      <w:r w:rsidRPr="003D632A">
        <w:rPr>
          <w:rFonts w:ascii="Lato" w:hAnsi="Lato"/>
          <w:sz w:val="22"/>
          <w:szCs w:val="22"/>
        </w:rPr>
        <w:tab/>
      </w:r>
      <w:r w:rsidRPr="003D632A">
        <w:rPr>
          <w:rFonts w:ascii="Lato" w:hAnsi="Lato"/>
          <w:sz w:val="22"/>
          <w:szCs w:val="22"/>
        </w:rPr>
        <w:tab/>
      </w:r>
      <w:r w:rsidRPr="003D632A">
        <w:rPr>
          <w:rFonts w:ascii="Lato" w:hAnsi="Lato"/>
          <w:sz w:val="22"/>
          <w:szCs w:val="22"/>
        </w:rPr>
        <w:tab/>
      </w:r>
      <w:r w:rsidRPr="003D632A">
        <w:rPr>
          <w:rFonts w:ascii="Lato" w:hAnsi="Lato"/>
          <w:sz w:val="22"/>
          <w:szCs w:val="22"/>
        </w:rPr>
        <w:tab/>
      </w:r>
      <w:r w:rsidRPr="003D632A">
        <w:rPr>
          <w:rFonts w:ascii="Lato" w:hAnsi="Lato"/>
          <w:sz w:val="22"/>
          <w:szCs w:val="22"/>
        </w:rPr>
        <w:tab/>
        <w:t>4 FEBRUARY 2022 (DELIBERATIONS)</w:t>
      </w:r>
    </w:p>
    <w:p w14:paraId="5B1374DF" w14:textId="77777777" w:rsidR="00341025" w:rsidRPr="003D632A" w:rsidRDefault="00341025">
      <w:pPr>
        <w:rPr>
          <w:rFonts w:ascii="Lato" w:hAnsi="Lato"/>
          <w:sz w:val="22"/>
          <w:szCs w:val="22"/>
        </w:rPr>
      </w:pPr>
    </w:p>
    <w:p w14:paraId="1C711188" w14:textId="77777777" w:rsidR="001C5581" w:rsidRPr="003D632A" w:rsidRDefault="001C5581" w:rsidP="003D632A">
      <w:pPr>
        <w:rPr>
          <w:rFonts w:ascii="Lato" w:hAnsi="Lato"/>
          <w:sz w:val="22"/>
          <w:szCs w:val="22"/>
        </w:rPr>
      </w:pPr>
    </w:p>
    <w:p w14:paraId="1401B6C9" w14:textId="77777777" w:rsidR="001C5581" w:rsidRPr="003D632A" w:rsidRDefault="001C5581">
      <w:pPr>
        <w:rPr>
          <w:rFonts w:ascii="Lato" w:hAnsi="Lato"/>
          <w:sz w:val="22"/>
          <w:szCs w:val="22"/>
        </w:rPr>
      </w:pPr>
      <w:r w:rsidRPr="003D632A">
        <w:rPr>
          <w:rFonts w:ascii="Lato" w:hAnsi="Lato"/>
          <w:sz w:val="22"/>
          <w:szCs w:val="22"/>
        </w:rPr>
        <w:t>Chairperson:</w:t>
      </w:r>
      <w:r w:rsidRPr="003D632A">
        <w:rPr>
          <w:rFonts w:ascii="Lato" w:hAnsi="Lato"/>
          <w:sz w:val="22"/>
          <w:szCs w:val="22"/>
        </w:rPr>
        <w:tab/>
      </w:r>
      <w:r w:rsidRPr="003D632A">
        <w:rPr>
          <w:rFonts w:ascii="Lato" w:hAnsi="Lato"/>
          <w:sz w:val="22"/>
          <w:szCs w:val="22"/>
        </w:rPr>
        <w:tab/>
      </w:r>
      <w:r w:rsidRPr="003D632A">
        <w:rPr>
          <w:rFonts w:ascii="Lato" w:hAnsi="Lato"/>
          <w:sz w:val="22"/>
          <w:szCs w:val="22"/>
        </w:rPr>
        <w:tab/>
      </w:r>
      <w:r w:rsidRPr="003D632A">
        <w:rPr>
          <w:rFonts w:ascii="Lato" w:hAnsi="Lato"/>
          <w:sz w:val="22"/>
          <w:szCs w:val="22"/>
        </w:rPr>
        <w:tab/>
      </w:r>
      <w:r w:rsidRPr="003D632A">
        <w:rPr>
          <w:rFonts w:ascii="Lato" w:hAnsi="Lato"/>
          <w:sz w:val="22"/>
          <w:szCs w:val="22"/>
        </w:rPr>
        <w:tab/>
        <w:t>Mark Thomas</w:t>
      </w:r>
    </w:p>
    <w:p w14:paraId="18A11173" w14:textId="77777777" w:rsidR="001C5581" w:rsidRPr="003D632A" w:rsidRDefault="001C5581">
      <w:pPr>
        <w:rPr>
          <w:rFonts w:ascii="Lato" w:hAnsi="Lato"/>
          <w:sz w:val="22"/>
          <w:szCs w:val="22"/>
        </w:rPr>
      </w:pPr>
      <w:r w:rsidRPr="003D632A">
        <w:rPr>
          <w:rFonts w:ascii="Lato" w:hAnsi="Lato"/>
          <w:sz w:val="22"/>
          <w:szCs w:val="22"/>
        </w:rPr>
        <w:t>Departmental representative</w:t>
      </w:r>
      <w:r w:rsidRPr="003D632A">
        <w:rPr>
          <w:rFonts w:ascii="Lato" w:hAnsi="Lato"/>
          <w:sz w:val="22"/>
          <w:szCs w:val="22"/>
        </w:rPr>
        <w:tab/>
      </w:r>
      <w:r w:rsidRPr="003D632A">
        <w:rPr>
          <w:rFonts w:ascii="Lato" w:hAnsi="Lato"/>
          <w:sz w:val="22"/>
          <w:szCs w:val="22"/>
        </w:rPr>
        <w:tab/>
      </w:r>
      <w:r w:rsidRPr="003D632A">
        <w:rPr>
          <w:rFonts w:ascii="Lato" w:hAnsi="Lato"/>
          <w:sz w:val="22"/>
          <w:szCs w:val="22"/>
        </w:rPr>
        <w:tab/>
        <w:t>Robert Bradshaw</w:t>
      </w:r>
    </w:p>
    <w:p w14:paraId="065F11A6" w14:textId="77777777" w:rsidR="001C5581" w:rsidRPr="003D632A" w:rsidRDefault="001C5581">
      <w:pPr>
        <w:rPr>
          <w:rFonts w:ascii="Lato" w:hAnsi="Lato"/>
          <w:sz w:val="22"/>
          <w:szCs w:val="22"/>
        </w:rPr>
      </w:pPr>
      <w:r w:rsidRPr="003D632A">
        <w:rPr>
          <w:rFonts w:ascii="Lato" w:hAnsi="Lato"/>
          <w:sz w:val="22"/>
          <w:szCs w:val="22"/>
        </w:rPr>
        <w:t>Industry representative</w:t>
      </w:r>
      <w:r w:rsidRPr="003D632A">
        <w:rPr>
          <w:rFonts w:ascii="Lato" w:hAnsi="Lato"/>
          <w:sz w:val="22"/>
          <w:szCs w:val="22"/>
        </w:rPr>
        <w:tab/>
      </w:r>
      <w:r w:rsidRPr="003D632A">
        <w:rPr>
          <w:rFonts w:ascii="Lato" w:hAnsi="Lato"/>
          <w:sz w:val="22"/>
          <w:szCs w:val="22"/>
        </w:rPr>
        <w:tab/>
      </w:r>
      <w:r w:rsidRPr="003D632A">
        <w:rPr>
          <w:rFonts w:ascii="Lato" w:hAnsi="Lato"/>
          <w:sz w:val="22"/>
          <w:szCs w:val="22"/>
        </w:rPr>
        <w:tab/>
        <w:t>Carol Need</w:t>
      </w:r>
    </w:p>
    <w:p w14:paraId="22D39685" w14:textId="77777777" w:rsidR="001C5581" w:rsidRPr="003D632A" w:rsidRDefault="001C5581">
      <w:pPr>
        <w:rPr>
          <w:rFonts w:ascii="Lato" w:hAnsi="Lato"/>
          <w:sz w:val="22"/>
          <w:szCs w:val="22"/>
        </w:rPr>
      </w:pPr>
      <w:r w:rsidRPr="003D632A">
        <w:rPr>
          <w:rFonts w:ascii="Lato" w:hAnsi="Lato"/>
          <w:sz w:val="22"/>
          <w:szCs w:val="22"/>
        </w:rPr>
        <w:t>Consumer representative</w:t>
      </w:r>
      <w:r w:rsidRPr="003D632A">
        <w:rPr>
          <w:rFonts w:ascii="Lato" w:hAnsi="Lato"/>
          <w:sz w:val="22"/>
          <w:szCs w:val="22"/>
        </w:rPr>
        <w:tab/>
      </w:r>
      <w:r w:rsidRPr="003D632A">
        <w:rPr>
          <w:rFonts w:ascii="Lato" w:hAnsi="Lato"/>
          <w:sz w:val="22"/>
          <w:szCs w:val="22"/>
        </w:rPr>
        <w:tab/>
      </w:r>
      <w:r w:rsidRPr="003D632A">
        <w:rPr>
          <w:rFonts w:ascii="Lato" w:hAnsi="Lato"/>
          <w:sz w:val="22"/>
          <w:szCs w:val="22"/>
        </w:rPr>
        <w:tab/>
        <w:t>Lea Aitken</w:t>
      </w:r>
    </w:p>
    <w:p w14:paraId="49037B4D" w14:textId="77777777" w:rsidR="001C5581" w:rsidRPr="003D632A" w:rsidRDefault="001C5581">
      <w:pPr>
        <w:rPr>
          <w:rFonts w:ascii="Lato" w:hAnsi="Lato"/>
          <w:sz w:val="22"/>
          <w:szCs w:val="22"/>
        </w:rPr>
      </w:pPr>
    </w:p>
    <w:p w14:paraId="157A331D" w14:textId="77777777" w:rsidR="00085F66" w:rsidRPr="003D632A" w:rsidRDefault="00085F66">
      <w:pPr>
        <w:rPr>
          <w:rFonts w:ascii="Lato" w:hAnsi="Lato"/>
          <w:sz w:val="22"/>
          <w:szCs w:val="22"/>
        </w:rPr>
      </w:pPr>
    </w:p>
    <w:p w14:paraId="1DA5CF7B" w14:textId="7301572C" w:rsidR="001C5581" w:rsidRPr="003D632A" w:rsidRDefault="001C5581">
      <w:pPr>
        <w:rPr>
          <w:rFonts w:ascii="Lato" w:hAnsi="Lato"/>
          <w:sz w:val="22"/>
          <w:szCs w:val="22"/>
        </w:rPr>
      </w:pPr>
      <w:r w:rsidRPr="003D632A">
        <w:rPr>
          <w:rFonts w:ascii="Lato" w:hAnsi="Lato"/>
          <w:sz w:val="22"/>
          <w:szCs w:val="22"/>
        </w:rPr>
        <w:t>Appearances:</w:t>
      </w:r>
    </w:p>
    <w:p w14:paraId="293512F1" w14:textId="77777777" w:rsidR="003D632A" w:rsidRPr="003D632A" w:rsidRDefault="003D632A">
      <w:pPr>
        <w:rPr>
          <w:rFonts w:ascii="Lato" w:hAnsi="Lato"/>
          <w:sz w:val="22"/>
          <w:szCs w:val="22"/>
        </w:rPr>
      </w:pPr>
    </w:p>
    <w:p w14:paraId="0CE5E7E4" w14:textId="473D0944" w:rsidR="00537463" w:rsidRPr="003D632A" w:rsidRDefault="001C5581">
      <w:pPr>
        <w:rPr>
          <w:rFonts w:ascii="Lato" w:hAnsi="Lato"/>
          <w:sz w:val="22"/>
          <w:szCs w:val="22"/>
        </w:rPr>
      </w:pPr>
      <w:r w:rsidRPr="003D632A">
        <w:rPr>
          <w:rFonts w:ascii="Lato" w:hAnsi="Lato"/>
          <w:sz w:val="22"/>
          <w:szCs w:val="22"/>
        </w:rPr>
        <w:t>Counsel for the Applicant:</w:t>
      </w:r>
      <w:r w:rsidRPr="003D632A">
        <w:rPr>
          <w:rFonts w:ascii="Lato" w:hAnsi="Lato"/>
          <w:sz w:val="22"/>
          <w:szCs w:val="22"/>
        </w:rPr>
        <w:tab/>
      </w:r>
      <w:r w:rsidRPr="003D632A">
        <w:rPr>
          <w:rFonts w:ascii="Lato" w:hAnsi="Lato"/>
          <w:sz w:val="22"/>
          <w:szCs w:val="22"/>
        </w:rPr>
        <w:tab/>
      </w:r>
      <w:r w:rsidRPr="003D632A">
        <w:rPr>
          <w:rFonts w:ascii="Lato" w:hAnsi="Lato"/>
          <w:sz w:val="22"/>
          <w:szCs w:val="22"/>
        </w:rPr>
        <w:tab/>
        <w:t>Mr Peter Bellach</w:t>
      </w:r>
    </w:p>
    <w:p w14:paraId="33DB987E" w14:textId="0A75F57D" w:rsidR="005E2DC7" w:rsidRPr="003D632A" w:rsidRDefault="005E2DC7">
      <w:pPr>
        <w:rPr>
          <w:rFonts w:ascii="Lato" w:hAnsi="Lato"/>
          <w:sz w:val="22"/>
          <w:szCs w:val="22"/>
        </w:rPr>
      </w:pPr>
    </w:p>
    <w:p w14:paraId="01891858" w14:textId="52496A1E" w:rsidR="005E2DC7" w:rsidRPr="003D632A" w:rsidRDefault="005E2DC7">
      <w:pPr>
        <w:rPr>
          <w:rFonts w:ascii="Lato" w:hAnsi="Lato"/>
          <w:sz w:val="22"/>
          <w:szCs w:val="22"/>
        </w:rPr>
      </w:pPr>
    </w:p>
    <w:p w14:paraId="1BB35732" w14:textId="3175BEA5" w:rsidR="005E2DC7" w:rsidRPr="003D632A" w:rsidRDefault="001C5581" w:rsidP="001C5581">
      <w:pPr>
        <w:jc w:val="center"/>
        <w:rPr>
          <w:rFonts w:ascii="Lato" w:hAnsi="Lato"/>
          <w:b/>
          <w:bCs/>
          <w:sz w:val="22"/>
          <w:szCs w:val="22"/>
          <w:u w:val="single"/>
        </w:rPr>
      </w:pPr>
      <w:r w:rsidRPr="003D632A">
        <w:rPr>
          <w:rFonts w:ascii="Lato" w:hAnsi="Lato"/>
          <w:b/>
          <w:bCs/>
          <w:sz w:val="22"/>
          <w:szCs w:val="22"/>
          <w:u w:val="single"/>
        </w:rPr>
        <w:t>STATEMENT OF REASONS FOR DECISION</w:t>
      </w:r>
    </w:p>
    <w:p w14:paraId="07DDB44E" w14:textId="3DA8AAF1" w:rsidR="0002520C" w:rsidRPr="003D632A" w:rsidRDefault="0002520C" w:rsidP="003D632A">
      <w:pPr>
        <w:rPr>
          <w:rFonts w:ascii="Lato" w:hAnsi="Lato"/>
          <w:sz w:val="22"/>
          <w:szCs w:val="22"/>
        </w:rPr>
      </w:pPr>
    </w:p>
    <w:p w14:paraId="238DF275" w14:textId="19FF9699" w:rsidR="0002520C" w:rsidRPr="003D632A" w:rsidRDefault="0002520C">
      <w:pPr>
        <w:rPr>
          <w:rFonts w:ascii="Lato" w:hAnsi="Lato"/>
          <w:sz w:val="22"/>
          <w:szCs w:val="22"/>
        </w:rPr>
      </w:pPr>
    </w:p>
    <w:p w14:paraId="59D65BD1" w14:textId="49D4CB5D" w:rsidR="005E2DC7" w:rsidRPr="003D632A" w:rsidRDefault="001C5581" w:rsidP="003D632A">
      <w:pPr>
        <w:rPr>
          <w:rFonts w:ascii="Lato" w:hAnsi="Lato"/>
          <w:b/>
          <w:bCs/>
          <w:i/>
          <w:iCs/>
          <w:sz w:val="22"/>
          <w:szCs w:val="22"/>
        </w:rPr>
      </w:pPr>
      <w:r w:rsidRPr="003D632A">
        <w:rPr>
          <w:rFonts w:ascii="Lato" w:hAnsi="Lato"/>
          <w:b/>
          <w:bCs/>
          <w:i/>
          <w:iCs/>
          <w:sz w:val="22"/>
          <w:szCs w:val="22"/>
        </w:rPr>
        <w:t>Background</w:t>
      </w:r>
    </w:p>
    <w:p w14:paraId="5B31E141" w14:textId="77777777" w:rsidR="001C5581" w:rsidRPr="003D632A" w:rsidRDefault="001C5581">
      <w:pPr>
        <w:rPr>
          <w:rFonts w:ascii="Lato" w:hAnsi="Lato"/>
          <w:sz w:val="22"/>
          <w:szCs w:val="22"/>
        </w:rPr>
      </w:pPr>
    </w:p>
    <w:p w14:paraId="32B4518D" w14:textId="61A943B5" w:rsidR="00422405" w:rsidRPr="003D632A" w:rsidRDefault="00CC004F" w:rsidP="00225204">
      <w:pPr>
        <w:pStyle w:val="ListParagraph"/>
        <w:numPr>
          <w:ilvl w:val="0"/>
          <w:numId w:val="1"/>
        </w:numPr>
        <w:jc w:val="both"/>
        <w:rPr>
          <w:rFonts w:ascii="Lato" w:hAnsi="Lato"/>
          <w:sz w:val="22"/>
          <w:szCs w:val="22"/>
        </w:rPr>
      </w:pPr>
      <w:r>
        <w:rPr>
          <w:rFonts w:ascii="Lato" w:hAnsi="Lato"/>
          <w:sz w:val="22"/>
          <w:szCs w:val="22"/>
        </w:rPr>
        <w:t>This matter concerns an application for t</w:t>
      </w:r>
      <w:r w:rsidR="002978A4">
        <w:rPr>
          <w:rFonts w:ascii="Lato" w:hAnsi="Lato"/>
          <w:sz w:val="22"/>
          <w:szCs w:val="22"/>
        </w:rPr>
        <w:t>he grant of a Real Estate licenc</w:t>
      </w:r>
      <w:r>
        <w:rPr>
          <w:rFonts w:ascii="Lato" w:hAnsi="Lato"/>
          <w:sz w:val="22"/>
          <w:szCs w:val="22"/>
        </w:rPr>
        <w:t xml:space="preserve">e. The Board must, under s 29 (1) of the </w:t>
      </w:r>
      <w:r w:rsidRPr="00CC004F">
        <w:rPr>
          <w:rFonts w:ascii="Lato" w:hAnsi="Lato"/>
          <w:i/>
          <w:iCs/>
          <w:sz w:val="22"/>
          <w:szCs w:val="22"/>
        </w:rPr>
        <w:t>Agents Licensing Act</w:t>
      </w:r>
      <w:r w:rsidR="002B062A">
        <w:rPr>
          <w:rFonts w:ascii="Lato" w:hAnsi="Lato"/>
          <w:sz w:val="22"/>
          <w:szCs w:val="22"/>
        </w:rPr>
        <w:t xml:space="preserve"> </w:t>
      </w:r>
      <w:r w:rsidR="002B062A" w:rsidRPr="002B062A">
        <w:rPr>
          <w:rFonts w:ascii="Lato" w:hAnsi="Lato"/>
          <w:i/>
          <w:iCs/>
          <w:sz w:val="22"/>
          <w:szCs w:val="22"/>
        </w:rPr>
        <w:t>1979</w:t>
      </w:r>
      <w:r w:rsidR="002B062A">
        <w:rPr>
          <w:rFonts w:ascii="Lato" w:hAnsi="Lato"/>
          <w:i/>
          <w:iCs/>
          <w:sz w:val="22"/>
          <w:szCs w:val="22"/>
        </w:rPr>
        <w:t xml:space="preserve"> (“the Act”)</w:t>
      </w:r>
      <w:r w:rsidR="002B062A">
        <w:rPr>
          <w:rFonts w:ascii="Lato" w:hAnsi="Lato"/>
          <w:sz w:val="22"/>
          <w:szCs w:val="22"/>
        </w:rPr>
        <w:t>,</w:t>
      </w:r>
      <w:r>
        <w:rPr>
          <w:rFonts w:ascii="Lato" w:hAnsi="Lato"/>
          <w:sz w:val="22"/>
          <w:szCs w:val="22"/>
        </w:rPr>
        <w:t xml:space="preserve"> consider an appli</w:t>
      </w:r>
      <w:r w:rsidR="002978A4">
        <w:rPr>
          <w:rFonts w:ascii="Lato" w:hAnsi="Lato"/>
          <w:sz w:val="22"/>
          <w:szCs w:val="22"/>
        </w:rPr>
        <w:t>cation for the grant of a licenc</w:t>
      </w:r>
      <w:r>
        <w:rPr>
          <w:rFonts w:ascii="Lato" w:hAnsi="Lato"/>
          <w:sz w:val="22"/>
          <w:szCs w:val="22"/>
        </w:rPr>
        <w:t xml:space="preserve">e. </w:t>
      </w:r>
      <w:r w:rsidR="005E2DC7" w:rsidRPr="003D632A">
        <w:rPr>
          <w:rFonts w:ascii="Lato" w:hAnsi="Lato"/>
          <w:sz w:val="22"/>
          <w:szCs w:val="22"/>
        </w:rPr>
        <w:t xml:space="preserve">On </w:t>
      </w:r>
      <w:r w:rsidR="00422405" w:rsidRPr="003D632A">
        <w:rPr>
          <w:rFonts w:ascii="Lato" w:hAnsi="Lato"/>
          <w:sz w:val="22"/>
          <w:szCs w:val="22"/>
        </w:rPr>
        <w:t>26 July 2021</w:t>
      </w:r>
      <w:r w:rsidR="00341025" w:rsidRPr="003D632A">
        <w:rPr>
          <w:rFonts w:ascii="Lato" w:hAnsi="Lato"/>
          <w:sz w:val="22"/>
          <w:szCs w:val="22"/>
        </w:rPr>
        <w:t>,</w:t>
      </w:r>
      <w:r w:rsidR="00422405" w:rsidRPr="003D632A">
        <w:rPr>
          <w:rFonts w:ascii="Lato" w:hAnsi="Lato"/>
          <w:sz w:val="22"/>
          <w:szCs w:val="22"/>
        </w:rPr>
        <w:t xml:space="preserve"> Mr Karl Secondis lodged an application</w:t>
      </w:r>
      <w:r w:rsidR="00C66249" w:rsidRPr="003D632A">
        <w:rPr>
          <w:rFonts w:ascii="Lato" w:hAnsi="Lato"/>
          <w:sz w:val="22"/>
          <w:szCs w:val="22"/>
        </w:rPr>
        <w:t>, dated 27 July 2021,</w:t>
      </w:r>
      <w:r w:rsidR="00422405" w:rsidRPr="003D632A">
        <w:rPr>
          <w:rFonts w:ascii="Lato" w:hAnsi="Lato"/>
          <w:sz w:val="22"/>
          <w:szCs w:val="22"/>
        </w:rPr>
        <w:t xml:space="preserve"> for a Real Estate Agent’s licen</w:t>
      </w:r>
      <w:r w:rsidR="00A3478B" w:rsidRPr="003D632A">
        <w:rPr>
          <w:rFonts w:ascii="Lato" w:hAnsi="Lato"/>
          <w:sz w:val="22"/>
          <w:szCs w:val="22"/>
        </w:rPr>
        <w:t>ce.</w:t>
      </w:r>
      <w:r w:rsidR="00422405" w:rsidRPr="003D632A">
        <w:rPr>
          <w:rFonts w:ascii="Lato" w:hAnsi="Lato"/>
          <w:sz w:val="22"/>
          <w:szCs w:val="22"/>
        </w:rPr>
        <w:t xml:space="preserve"> That application was accompanied by a statement from a referee, who was Mr Greg Cavenagh, Local Court Judge.</w:t>
      </w:r>
      <w:r w:rsidR="004660CA" w:rsidRPr="003D632A">
        <w:rPr>
          <w:rFonts w:ascii="Lato" w:hAnsi="Lato"/>
          <w:sz w:val="22"/>
          <w:szCs w:val="22"/>
        </w:rPr>
        <w:t xml:space="preserve"> This application was made after </w:t>
      </w:r>
      <w:r w:rsidR="005074FF">
        <w:rPr>
          <w:rFonts w:ascii="Lato" w:hAnsi="Lato"/>
          <w:sz w:val="22"/>
          <w:szCs w:val="22"/>
        </w:rPr>
        <w:t>Mr Secondis’</w:t>
      </w:r>
      <w:r w:rsidR="004660CA" w:rsidRPr="003D632A">
        <w:rPr>
          <w:rFonts w:ascii="Lato" w:hAnsi="Lato"/>
          <w:sz w:val="22"/>
          <w:szCs w:val="22"/>
        </w:rPr>
        <w:t xml:space="preserve"> previous licen</w:t>
      </w:r>
      <w:r w:rsidR="00A3478B" w:rsidRPr="003D632A">
        <w:rPr>
          <w:rFonts w:ascii="Lato" w:hAnsi="Lato"/>
          <w:sz w:val="22"/>
          <w:szCs w:val="22"/>
        </w:rPr>
        <w:t>ce</w:t>
      </w:r>
      <w:r w:rsidR="004660CA" w:rsidRPr="003D632A">
        <w:rPr>
          <w:rFonts w:ascii="Lato" w:hAnsi="Lato"/>
          <w:sz w:val="22"/>
          <w:szCs w:val="22"/>
        </w:rPr>
        <w:t xml:space="preserve"> had lapsed.</w:t>
      </w:r>
      <w:r w:rsidR="00537463" w:rsidRPr="003D632A">
        <w:rPr>
          <w:rStyle w:val="FootnoteReference"/>
          <w:rFonts w:ascii="Lato" w:hAnsi="Lato"/>
          <w:sz w:val="22"/>
          <w:szCs w:val="22"/>
        </w:rPr>
        <w:footnoteReference w:id="1"/>
      </w:r>
    </w:p>
    <w:p w14:paraId="17EBDE10" w14:textId="77777777" w:rsidR="004E0B3F" w:rsidRPr="003D632A" w:rsidRDefault="004E0B3F" w:rsidP="004E0B3F">
      <w:pPr>
        <w:pStyle w:val="ListParagraph"/>
        <w:jc w:val="both"/>
        <w:rPr>
          <w:rFonts w:ascii="Lato" w:hAnsi="Lato"/>
          <w:sz w:val="22"/>
          <w:szCs w:val="22"/>
        </w:rPr>
      </w:pPr>
    </w:p>
    <w:p w14:paraId="3D5269AC" w14:textId="723FA93B" w:rsidR="004E0B3F" w:rsidRPr="003D632A" w:rsidRDefault="00422405" w:rsidP="004E0B3F">
      <w:pPr>
        <w:pStyle w:val="ListParagraph"/>
        <w:numPr>
          <w:ilvl w:val="0"/>
          <w:numId w:val="1"/>
        </w:numPr>
        <w:jc w:val="both"/>
        <w:rPr>
          <w:rFonts w:ascii="Lato" w:hAnsi="Lato"/>
          <w:sz w:val="22"/>
          <w:szCs w:val="22"/>
        </w:rPr>
      </w:pPr>
      <w:r w:rsidRPr="003D632A">
        <w:rPr>
          <w:rFonts w:ascii="Lato" w:hAnsi="Lato"/>
          <w:sz w:val="22"/>
          <w:szCs w:val="22"/>
        </w:rPr>
        <w:t xml:space="preserve">On </w:t>
      </w:r>
      <w:r w:rsidR="0002520C" w:rsidRPr="003D632A">
        <w:rPr>
          <w:rFonts w:ascii="Lato" w:hAnsi="Lato"/>
          <w:sz w:val="22"/>
          <w:szCs w:val="22"/>
        </w:rPr>
        <w:t>1</w:t>
      </w:r>
      <w:r w:rsidR="004E33FB" w:rsidRPr="003D632A">
        <w:rPr>
          <w:rFonts w:ascii="Lato" w:hAnsi="Lato"/>
          <w:sz w:val="22"/>
          <w:szCs w:val="22"/>
        </w:rPr>
        <w:t xml:space="preserve"> October</w:t>
      </w:r>
      <w:r w:rsidR="00341025" w:rsidRPr="003D632A">
        <w:rPr>
          <w:rFonts w:ascii="Lato" w:hAnsi="Lato"/>
          <w:sz w:val="22"/>
          <w:szCs w:val="22"/>
        </w:rPr>
        <w:t xml:space="preserve"> 2021, </w:t>
      </w:r>
      <w:r w:rsidR="0002520C" w:rsidRPr="003D632A">
        <w:rPr>
          <w:rFonts w:ascii="Lato" w:hAnsi="Lato"/>
          <w:sz w:val="22"/>
          <w:szCs w:val="22"/>
        </w:rPr>
        <w:t>the Board</w:t>
      </w:r>
      <w:r w:rsidR="004E33FB" w:rsidRPr="003D632A">
        <w:rPr>
          <w:rFonts w:ascii="Lato" w:hAnsi="Lato"/>
          <w:sz w:val="22"/>
          <w:szCs w:val="22"/>
        </w:rPr>
        <w:t xml:space="preserve"> </w:t>
      </w:r>
      <w:r w:rsidR="0002520C" w:rsidRPr="003D632A">
        <w:rPr>
          <w:rFonts w:ascii="Lato" w:hAnsi="Lato"/>
          <w:sz w:val="22"/>
          <w:szCs w:val="22"/>
        </w:rPr>
        <w:t>met to consider this application. Mr Secondis appeared unrepresented. The Board decided to hold an in inquiry</w:t>
      </w:r>
      <w:r w:rsidR="004E0B3F" w:rsidRPr="003D632A">
        <w:rPr>
          <w:rFonts w:ascii="Lato" w:hAnsi="Lato"/>
          <w:sz w:val="22"/>
          <w:szCs w:val="22"/>
        </w:rPr>
        <w:t xml:space="preserve"> (pursuant to s77 &amp; 30(1)(b) of the Act)</w:t>
      </w:r>
      <w:r w:rsidR="0002520C" w:rsidRPr="003D632A">
        <w:rPr>
          <w:rFonts w:ascii="Lato" w:hAnsi="Lato"/>
          <w:sz w:val="22"/>
          <w:szCs w:val="22"/>
        </w:rPr>
        <w:t xml:space="preserve"> as soon as practica</w:t>
      </w:r>
      <w:r w:rsidR="00147881" w:rsidRPr="003D632A">
        <w:rPr>
          <w:rFonts w:ascii="Lato" w:hAnsi="Lato"/>
          <w:sz w:val="22"/>
          <w:szCs w:val="22"/>
        </w:rPr>
        <w:t>ble.</w:t>
      </w:r>
      <w:r w:rsidR="0002520C" w:rsidRPr="003D632A">
        <w:rPr>
          <w:rFonts w:ascii="Lato" w:hAnsi="Lato"/>
          <w:sz w:val="22"/>
          <w:szCs w:val="22"/>
        </w:rPr>
        <w:t xml:space="preserve"> It was made clear to the Board that there were presently unresolved charges in the Local Court that concerned Mr Secondis.</w:t>
      </w:r>
    </w:p>
    <w:p w14:paraId="41B1F4C5" w14:textId="77777777" w:rsidR="004E0B3F" w:rsidRPr="003D632A" w:rsidRDefault="004E0B3F" w:rsidP="004E0B3F">
      <w:pPr>
        <w:jc w:val="both"/>
        <w:rPr>
          <w:rFonts w:ascii="Lato" w:hAnsi="Lato"/>
          <w:sz w:val="22"/>
          <w:szCs w:val="22"/>
        </w:rPr>
      </w:pPr>
    </w:p>
    <w:p w14:paraId="129BED59" w14:textId="4B959C7B" w:rsidR="0002520C" w:rsidRPr="003D632A" w:rsidRDefault="00225204" w:rsidP="00225204">
      <w:pPr>
        <w:pStyle w:val="ListParagraph"/>
        <w:numPr>
          <w:ilvl w:val="0"/>
          <w:numId w:val="1"/>
        </w:numPr>
        <w:jc w:val="both"/>
        <w:rPr>
          <w:rFonts w:ascii="Lato" w:hAnsi="Lato"/>
          <w:sz w:val="22"/>
          <w:szCs w:val="22"/>
        </w:rPr>
      </w:pPr>
      <w:r w:rsidRPr="003D632A">
        <w:rPr>
          <w:rFonts w:ascii="Lato" w:hAnsi="Lato"/>
          <w:sz w:val="22"/>
          <w:szCs w:val="22"/>
        </w:rPr>
        <w:t>On 21 October 2021</w:t>
      </w:r>
      <w:r w:rsidR="00341025" w:rsidRPr="003D632A">
        <w:rPr>
          <w:rFonts w:ascii="Lato" w:hAnsi="Lato"/>
          <w:sz w:val="22"/>
          <w:szCs w:val="22"/>
        </w:rPr>
        <w:t>,</w:t>
      </w:r>
      <w:r w:rsidRPr="003D632A">
        <w:rPr>
          <w:rFonts w:ascii="Lato" w:hAnsi="Lato"/>
          <w:sz w:val="22"/>
          <w:szCs w:val="22"/>
        </w:rPr>
        <w:t xml:space="preserve"> Mr Secondis notified the Board via email</w:t>
      </w:r>
      <w:r w:rsidR="00BD41E2" w:rsidRPr="003D632A">
        <w:rPr>
          <w:rFonts w:ascii="Lato" w:hAnsi="Lato"/>
          <w:sz w:val="22"/>
          <w:szCs w:val="22"/>
        </w:rPr>
        <w:t xml:space="preserve"> </w:t>
      </w:r>
      <w:r w:rsidRPr="003D632A">
        <w:rPr>
          <w:rFonts w:ascii="Lato" w:hAnsi="Lato"/>
          <w:sz w:val="22"/>
          <w:szCs w:val="22"/>
        </w:rPr>
        <w:t xml:space="preserve">that his next Court date was 10 November 2021 and that he would prefer that his application proceed after </w:t>
      </w:r>
      <w:r w:rsidR="00BD41E2" w:rsidRPr="003D632A">
        <w:rPr>
          <w:rFonts w:ascii="Lato" w:hAnsi="Lato"/>
          <w:sz w:val="22"/>
          <w:szCs w:val="22"/>
        </w:rPr>
        <w:t>this</w:t>
      </w:r>
      <w:r w:rsidRPr="003D632A">
        <w:rPr>
          <w:rFonts w:ascii="Lato" w:hAnsi="Lato"/>
          <w:sz w:val="22"/>
          <w:szCs w:val="22"/>
        </w:rPr>
        <w:t xml:space="preserve"> date. The Board agreed with that</w:t>
      </w:r>
      <w:r w:rsidR="00147881" w:rsidRPr="003D632A">
        <w:rPr>
          <w:rFonts w:ascii="Lato" w:hAnsi="Lato"/>
          <w:sz w:val="22"/>
          <w:szCs w:val="22"/>
        </w:rPr>
        <w:t xml:space="preserve"> request.</w:t>
      </w:r>
    </w:p>
    <w:p w14:paraId="34CA7ABB" w14:textId="416E8596" w:rsidR="004E0B3F" w:rsidRPr="003D632A" w:rsidRDefault="004E0B3F" w:rsidP="004E0B3F">
      <w:pPr>
        <w:jc w:val="both"/>
        <w:rPr>
          <w:rFonts w:ascii="Lato" w:hAnsi="Lato"/>
          <w:sz w:val="22"/>
          <w:szCs w:val="22"/>
        </w:rPr>
      </w:pPr>
    </w:p>
    <w:p w14:paraId="76891B8B" w14:textId="3CD47AC2" w:rsidR="00225204" w:rsidRPr="003D632A" w:rsidRDefault="00225204" w:rsidP="00225204">
      <w:pPr>
        <w:pStyle w:val="ListParagraph"/>
        <w:numPr>
          <w:ilvl w:val="0"/>
          <w:numId w:val="1"/>
        </w:numPr>
        <w:jc w:val="both"/>
        <w:rPr>
          <w:rFonts w:ascii="Lato" w:hAnsi="Lato"/>
          <w:sz w:val="22"/>
          <w:szCs w:val="22"/>
        </w:rPr>
      </w:pPr>
      <w:r w:rsidRPr="003D632A">
        <w:rPr>
          <w:rFonts w:ascii="Lato" w:hAnsi="Lato"/>
          <w:sz w:val="22"/>
          <w:szCs w:val="22"/>
        </w:rPr>
        <w:t xml:space="preserve">A hearing date was  fixed for 25 November 2021. </w:t>
      </w:r>
      <w:r w:rsidR="00DE5185" w:rsidRPr="003D632A">
        <w:rPr>
          <w:rFonts w:ascii="Lato" w:hAnsi="Lato"/>
          <w:sz w:val="22"/>
          <w:szCs w:val="22"/>
        </w:rPr>
        <w:t xml:space="preserve">On that date, </w:t>
      </w:r>
      <w:r w:rsidRPr="003D632A">
        <w:rPr>
          <w:rFonts w:ascii="Lato" w:hAnsi="Lato"/>
          <w:sz w:val="22"/>
          <w:szCs w:val="22"/>
        </w:rPr>
        <w:t>Mr Secondis appeared before the Board</w:t>
      </w:r>
      <w:r w:rsidR="00DE5185" w:rsidRPr="003D632A">
        <w:rPr>
          <w:rFonts w:ascii="Lato" w:hAnsi="Lato"/>
          <w:sz w:val="22"/>
          <w:szCs w:val="22"/>
        </w:rPr>
        <w:t xml:space="preserve"> r</w:t>
      </w:r>
      <w:r w:rsidRPr="003D632A">
        <w:rPr>
          <w:rFonts w:ascii="Lato" w:hAnsi="Lato"/>
          <w:sz w:val="22"/>
          <w:szCs w:val="22"/>
        </w:rPr>
        <w:t>epresented by Mr Peter Bellach, barrister.</w:t>
      </w:r>
      <w:r w:rsidR="00443BAE" w:rsidRPr="003D632A">
        <w:rPr>
          <w:rFonts w:ascii="Lato" w:hAnsi="Lato"/>
          <w:sz w:val="22"/>
          <w:szCs w:val="22"/>
        </w:rPr>
        <w:t xml:space="preserve"> </w:t>
      </w:r>
      <w:r w:rsidR="00DE5185" w:rsidRPr="003D632A">
        <w:rPr>
          <w:rFonts w:ascii="Lato" w:hAnsi="Lato"/>
          <w:sz w:val="22"/>
          <w:szCs w:val="22"/>
        </w:rPr>
        <w:t xml:space="preserve">The </w:t>
      </w:r>
      <w:r w:rsidR="00BD6044" w:rsidRPr="003D632A">
        <w:rPr>
          <w:rFonts w:ascii="Lato" w:hAnsi="Lato"/>
          <w:sz w:val="22"/>
          <w:szCs w:val="22"/>
        </w:rPr>
        <w:t xml:space="preserve">hearing for the </w:t>
      </w:r>
      <w:r w:rsidR="00DE5185" w:rsidRPr="003D632A">
        <w:rPr>
          <w:rFonts w:ascii="Lato" w:hAnsi="Lato"/>
          <w:sz w:val="22"/>
          <w:szCs w:val="22"/>
        </w:rPr>
        <w:t>inquiry occurred. At the end of the</w:t>
      </w:r>
      <w:r w:rsidR="00BD6044" w:rsidRPr="003D632A">
        <w:rPr>
          <w:rFonts w:ascii="Lato" w:hAnsi="Lato"/>
          <w:sz w:val="22"/>
          <w:szCs w:val="22"/>
        </w:rPr>
        <w:t xml:space="preserve"> hearing</w:t>
      </w:r>
      <w:r w:rsidR="00DE5185" w:rsidRPr="003D632A">
        <w:rPr>
          <w:rFonts w:ascii="Lato" w:hAnsi="Lato"/>
          <w:sz w:val="22"/>
          <w:szCs w:val="22"/>
        </w:rPr>
        <w:t xml:space="preserve"> t</w:t>
      </w:r>
      <w:r w:rsidR="00443BAE" w:rsidRPr="003D632A">
        <w:rPr>
          <w:rFonts w:ascii="Lato" w:hAnsi="Lato"/>
          <w:sz w:val="22"/>
          <w:szCs w:val="22"/>
        </w:rPr>
        <w:t xml:space="preserve">he matter was </w:t>
      </w:r>
      <w:r w:rsidR="001C5581" w:rsidRPr="003D632A">
        <w:rPr>
          <w:rFonts w:ascii="Lato" w:hAnsi="Lato"/>
          <w:sz w:val="22"/>
          <w:szCs w:val="22"/>
        </w:rPr>
        <w:t xml:space="preserve">adjourned to obtain the transcript </w:t>
      </w:r>
      <w:r w:rsidR="001C5581" w:rsidRPr="003D632A">
        <w:rPr>
          <w:rFonts w:ascii="Lato" w:hAnsi="Lato"/>
          <w:sz w:val="22"/>
          <w:szCs w:val="22"/>
        </w:rPr>
        <w:lastRenderedPageBreak/>
        <w:t>of the Local Court proceedings</w:t>
      </w:r>
      <w:r w:rsidR="00DE5185" w:rsidRPr="003D632A">
        <w:rPr>
          <w:rFonts w:ascii="Lato" w:hAnsi="Lato"/>
          <w:sz w:val="22"/>
          <w:szCs w:val="22"/>
        </w:rPr>
        <w:t xml:space="preserve"> (of 19 November 2021)</w:t>
      </w:r>
      <w:r w:rsidR="00CC004F">
        <w:rPr>
          <w:rFonts w:ascii="Lato" w:hAnsi="Lato"/>
          <w:sz w:val="22"/>
          <w:szCs w:val="22"/>
        </w:rPr>
        <w:t>,</w:t>
      </w:r>
      <w:r w:rsidR="00764002" w:rsidRPr="003D632A">
        <w:rPr>
          <w:rFonts w:ascii="Lato" w:hAnsi="Lato"/>
          <w:sz w:val="22"/>
          <w:szCs w:val="22"/>
        </w:rPr>
        <w:t xml:space="preserve"> including submissions by both parties and her Honour’s sentencing remarks</w:t>
      </w:r>
      <w:r w:rsidR="001C5581" w:rsidRPr="003D632A">
        <w:rPr>
          <w:rFonts w:ascii="Lato" w:hAnsi="Lato"/>
          <w:sz w:val="22"/>
          <w:szCs w:val="22"/>
        </w:rPr>
        <w:t xml:space="preserve">. This </w:t>
      </w:r>
      <w:r w:rsidR="00764002" w:rsidRPr="003D632A">
        <w:rPr>
          <w:rFonts w:ascii="Lato" w:hAnsi="Lato"/>
          <w:sz w:val="22"/>
          <w:szCs w:val="22"/>
        </w:rPr>
        <w:t xml:space="preserve">transcript </w:t>
      </w:r>
      <w:r w:rsidR="00DF4CE6" w:rsidRPr="003D632A">
        <w:rPr>
          <w:rFonts w:ascii="Lato" w:hAnsi="Lato"/>
          <w:sz w:val="22"/>
          <w:szCs w:val="22"/>
        </w:rPr>
        <w:t>was</w:t>
      </w:r>
      <w:r w:rsidR="001C5581" w:rsidRPr="003D632A">
        <w:rPr>
          <w:rFonts w:ascii="Lato" w:hAnsi="Lato"/>
          <w:sz w:val="22"/>
          <w:szCs w:val="22"/>
        </w:rPr>
        <w:t xml:space="preserve"> </w:t>
      </w:r>
      <w:r w:rsidR="00DE5185" w:rsidRPr="003D632A">
        <w:rPr>
          <w:rFonts w:ascii="Lato" w:hAnsi="Lato"/>
          <w:sz w:val="22"/>
          <w:szCs w:val="22"/>
        </w:rPr>
        <w:t xml:space="preserve">subsequently </w:t>
      </w:r>
      <w:r w:rsidR="00BD6044" w:rsidRPr="003D632A">
        <w:rPr>
          <w:rFonts w:ascii="Lato" w:hAnsi="Lato"/>
          <w:sz w:val="22"/>
          <w:szCs w:val="22"/>
        </w:rPr>
        <w:t>disseminated on 13 January 2022</w:t>
      </w:r>
      <w:r w:rsidR="00CE144E" w:rsidRPr="003D632A">
        <w:rPr>
          <w:rFonts w:ascii="Lato" w:hAnsi="Lato"/>
          <w:sz w:val="22"/>
          <w:szCs w:val="22"/>
        </w:rPr>
        <w:t xml:space="preserve"> </w:t>
      </w:r>
      <w:r w:rsidR="00764002" w:rsidRPr="003D632A">
        <w:rPr>
          <w:rFonts w:ascii="Lato" w:hAnsi="Lato"/>
          <w:sz w:val="22"/>
          <w:szCs w:val="22"/>
        </w:rPr>
        <w:t>and tendered</w:t>
      </w:r>
      <w:r w:rsidR="00B249E9" w:rsidRPr="003D632A">
        <w:rPr>
          <w:rFonts w:ascii="Lato" w:hAnsi="Lato"/>
          <w:sz w:val="22"/>
          <w:szCs w:val="22"/>
        </w:rPr>
        <w:t xml:space="preserve">. </w:t>
      </w:r>
      <w:r w:rsidR="001C5581" w:rsidRPr="003D632A">
        <w:rPr>
          <w:rFonts w:ascii="Lato" w:hAnsi="Lato"/>
          <w:sz w:val="22"/>
          <w:szCs w:val="22"/>
        </w:rPr>
        <w:t xml:space="preserve">The </w:t>
      </w:r>
      <w:r w:rsidR="00934929" w:rsidRPr="003D632A">
        <w:rPr>
          <w:rFonts w:ascii="Lato" w:hAnsi="Lato"/>
          <w:sz w:val="22"/>
          <w:szCs w:val="22"/>
        </w:rPr>
        <w:t xml:space="preserve">Board invited the </w:t>
      </w:r>
      <w:r w:rsidR="001C5581" w:rsidRPr="003D632A">
        <w:rPr>
          <w:rFonts w:ascii="Lato" w:hAnsi="Lato"/>
          <w:sz w:val="22"/>
          <w:szCs w:val="22"/>
        </w:rPr>
        <w:t>applicant and Mr Bellach to make further submissions</w:t>
      </w:r>
      <w:r w:rsidR="00934929" w:rsidRPr="003D632A">
        <w:rPr>
          <w:rFonts w:ascii="Lato" w:hAnsi="Lato"/>
          <w:sz w:val="22"/>
          <w:szCs w:val="22"/>
        </w:rPr>
        <w:t>, if they wished</w:t>
      </w:r>
      <w:r w:rsidR="00764002" w:rsidRPr="003D632A">
        <w:rPr>
          <w:rFonts w:ascii="Lato" w:hAnsi="Lato"/>
          <w:sz w:val="22"/>
          <w:szCs w:val="22"/>
        </w:rPr>
        <w:t xml:space="preserve">, </w:t>
      </w:r>
      <w:r w:rsidR="001C5581" w:rsidRPr="003D632A">
        <w:rPr>
          <w:rFonts w:ascii="Lato" w:hAnsi="Lato"/>
          <w:sz w:val="22"/>
          <w:szCs w:val="22"/>
        </w:rPr>
        <w:t xml:space="preserve"> to the Board at a further meeting of the Board, which </w:t>
      </w:r>
      <w:r w:rsidR="00934929" w:rsidRPr="003D632A">
        <w:rPr>
          <w:rFonts w:ascii="Lato" w:hAnsi="Lato"/>
          <w:sz w:val="22"/>
          <w:szCs w:val="22"/>
        </w:rPr>
        <w:t xml:space="preserve">took place </w:t>
      </w:r>
      <w:r w:rsidR="001C5581" w:rsidRPr="003D632A">
        <w:rPr>
          <w:rFonts w:ascii="Lato" w:hAnsi="Lato"/>
          <w:sz w:val="22"/>
          <w:szCs w:val="22"/>
        </w:rPr>
        <w:t xml:space="preserve">on 4 February 2022. </w:t>
      </w:r>
      <w:r w:rsidR="00934929" w:rsidRPr="003D632A">
        <w:rPr>
          <w:rFonts w:ascii="Lato" w:hAnsi="Lato"/>
          <w:sz w:val="22"/>
          <w:szCs w:val="22"/>
        </w:rPr>
        <w:t>Mr Secondis and Mr</w:t>
      </w:r>
      <w:r w:rsidR="00B34105">
        <w:rPr>
          <w:rFonts w:ascii="Lato" w:hAnsi="Lato"/>
          <w:sz w:val="22"/>
          <w:szCs w:val="22"/>
        </w:rPr>
        <w:t> </w:t>
      </w:r>
      <w:r w:rsidR="00934929" w:rsidRPr="003D632A">
        <w:rPr>
          <w:rFonts w:ascii="Lato" w:hAnsi="Lato"/>
          <w:sz w:val="22"/>
          <w:szCs w:val="22"/>
        </w:rPr>
        <w:t xml:space="preserve">Bellach </w:t>
      </w:r>
      <w:r w:rsidR="001C5581" w:rsidRPr="003D632A">
        <w:rPr>
          <w:rFonts w:ascii="Lato" w:hAnsi="Lato"/>
          <w:sz w:val="22"/>
          <w:szCs w:val="22"/>
        </w:rPr>
        <w:t xml:space="preserve">declined to make further submissions or to appear before the Board. </w:t>
      </w:r>
      <w:r w:rsidR="00CE144E" w:rsidRPr="003D632A">
        <w:rPr>
          <w:rFonts w:ascii="Lato" w:hAnsi="Lato"/>
          <w:sz w:val="22"/>
          <w:szCs w:val="22"/>
        </w:rPr>
        <w:t xml:space="preserve">Through Mr Bellach, </w:t>
      </w:r>
      <w:r w:rsidR="001C5581" w:rsidRPr="003D632A">
        <w:rPr>
          <w:rFonts w:ascii="Lato" w:hAnsi="Lato"/>
          <w:sz w:val="22"/>
          <w:szCs w:val="22"/>
        </w:rPr>
        <w:t xml:space="preserve">Mr Secondis sent a further letter to the Board, which was tendered. The Board met on 4 February </w:t>
      </w:r>
      <w:r w:rsidR="00CE144E" w:rsidRPr="003D632A">
        <w:rPr>
          <w:rFonts w:ascii="Lato" w:hAnsi="Lato"/>
          <w:sz w:val="22"/>
          <w:szCs w:val="22"/>
        </w:rPr>
        <w:t xml:space="preserve">2022 </w:t>
      </w:r>
      <w:r w:rsidR="001C5581" w:rsidRPr="003D632A">
        <w:rPr>
          <w:rFonts w:ascii="Lato" w:hAnsi="Lato"/>
          <w:sz w:val="22"/>
          <w:szCs w:val="22"/>
        </w:rPr>
        <w:t xml:space="preserve">and </w:t>
      </w:r>
      <w:r w:rsidR="00DF4CE6" w:rsidRPr="003D632A">
        <w:rPr>
          <w:rFonts w:ascii="Lato" w:hAnsi="Lato"/>
          <w:sz w:val="22"/>
          <w:szCs w:val="22"/>
        </w:rPr>
        <w:t>considered</w:t>
      </w:r>
      <w:r w:rsidR="001C5581" w:rsidRPr="003D632A">
        <w:rPr>
          <w:rFonts w:ascii="Lato" w:hAnsi="Lato"/>
          <w:sz w:val="22"/>
          <w:szCs w:val="22"/>
        </w:rPr>
        <w:t xml:space="preserve"> its decision. The following </w:t>
      </w:r>
      <w:r w:rsidR="00CE144E" w:rsidRPr="003D632A">
        <w:rPr>
          <w:rFonts w:ascii="Lato" w:hAnsi="Lato"/>
          <w:sz w:val="22"/>
          <w:szCs w:val="22"/>
        </w:rPr>
        <w:t xml:space="preserve">is the decision and </w:t>
      </w:r>
      <w:r w:rsidR="00341025" w:rsidRPr="003D632A">
        <w:rPr>
          <w:rFonts w:ascii="Lato" w:hAnsi="Lato"/>
          <w:sz w:val="22"/>
          <w:szCs w:val="22"/>
        </w:rPr>
        <w:t>t</w:t>
      </w:r>
      <w:r w:rsidR="00CE144E" w:rsidRPr="003D632A">
        <w:rPr>
          <w:rFonts w:ascii="Lato" w:hAnsi="Lato"/>
          <w:sz w:val="22"/>
          <w:szCs w:val="22"/>
        </w:rPr>
        <w:t>he reasons for it.</w:t>
      </w:r>
    </w:p>
    <w:p w14:paraId="6D6316AA" w14:textId="36E9F819" w:rsidR="00583329" w:rsidRPr="003D632A" w:rsidRDefault="00583329" w:rsidP="00583329">
      <w:pPr>
        <w:jc w:val="both"/>
        <w:rPr>
          <w:rFonts w:ascii="Lato" w:hAnsi="Lato"/>
          <w:sz w:val="22"/>
          <w:szCs w:val="22"/>
        </w:rPr>
      </w:pPr>
    </w:p>
    <w:p w14:paraId="48DFB2F2" w14:textId="77777777" w:rsidR="0029308E" w:rsidRPr="003D632A" w:rsidRDefault="0029308E" w:rsidP="00583329">
      <w:pPr>
        <w:jc w:val="both"/>
        <w:rPr>
          <w:rFonts w:ascii="Lato" w:hAnsi="Lato"/>
          <w:sz w:val="22"/>
          <w:szCs w:val="22"/>
        </w:rPr>
      </w:pPr>
    </w:p>
    <w:p w14:paraId="635A241C" w14:textId="3A06EE1F" w:rsidR="00583329" w:rsidRPr="003D632A" w:rsidRDefault="00583329" w:rsidP="00583329">
      <w:pPr>
        <w:ind w:left="360"/>
        <w:jc w:val="both"/>
        <w:rPr>
          <w:rFonts w:ascii="Lato" w:hAnsi="Lato"/>
          <w:b/>
          <w:bCs/>
          <w:i/>
          <w:iCs/>
          <w:sz w:val="22"/>
          <w:szCs w:val="22"/>
        </w:rPr>
      </w:pPr>
      <w:r w:rsidRPr="003D632A">
        <w:rPr>
          <w:rFonts w:ascii="Lato" w:hAnsi="Lato"/>
          <w:b/>
          <w:bCs/>
          <w:i/>
          <w:iCs/>
          <w:sz w:val="22"/>
          <w:szCs w:val="22"/>
        </w:rPr>
        <w:t>T</w:t>
      </w:r>
      <w:r w:rsidR="0029308E" w:rsidRPr="003D632A">
        <w:rPr>
          <w:rFonts w:ascii="Lato" w:hAnsi="Lato"/>
          <w:b/>
          <w:bCs/>
          <w:i/>
          <w:iCs/>
          <w:sz w:val="22"/>
          <w:szCs w:val="22"/>
        </w:rPr>
        <w:t>he Local Court sentencing proceedings on 19 November 2021</w:t>
      </w:r>
    </w:p>
    <w:p w14:paraId="42E16E4C" w14:textId="5D5138C4" w:rsidR="00583329" w:rsidRPr="003D632A" w:rsidRDefault="00583329" w:rsidP="00341025">
      <w:pPr>
        <w:ind w:left="360"/>
        <w:jc w:val="both"/>
        <w:rPr>
          <w:rFonts w:ascii="Lato" w:hAnsi="Lato"/>
          <w:sz w:val="22"/>
          <w:szCs w:val="22"/>
        </w:rPr>
      </w:pPr>
    </w:p>
    <w:p w14:paraId="0FFBAB45" w14:textId="2CDEAC0E" w:rsidR="00583329" w:rsidRPr="003D632A" w:rsidRDefault="00583329" w:rsidP="00341025">
      <w:pPr>
        <w:pStyle w:val="ListParagraph"/>
        <w:numPr>
          <w:ilvl w:val="0"/>
          <w:numId w:val="1"/>
        </w:numPr>
        <w:jc w:val="both"/>
        <w:rPr>
          <w:rFonts w:ascii="Lato" w:hAnsi="Lato"/>
          <w:sz w:val="22"/>
          <w:szCs w:val="22"/>
        </w:rPr>
      </w:pPr>
      <w:r w:rsidRPr="003D632A">
        <w:rPr>
          <w:rFonts w:ascii="Lato" w:hAnsi="Lato"/>
          <w:sz w:val="22"/>
          <w:szCs w:val="22"/>
        </w:rPr>
        <w:t>Mr Secondis appeared before Local Court Judge Opi</w:t>
      </w:r>
      <w:r w:rsidR="00B122B2" w:rsidRPr="003D632A">
        <w:rPr>
          <w:rFonts w:ascii="Lato" w:hAnsi="Lato"/>
          <w:sz w:val="22"/>
          <w:szCs w:val="22"/>
        </w:rPr>
        <w:t>e on 19 November</w:t>
      </w:r>
      <w:r w:rsidR="00CE144E" w:rsidRPr="003D632A">
        <w:rPr>
          <w:rFonts w:ascii="Lato" w:hAnsi="Lato"/>
          <w:sz w:val="22"/>
          <w:szCs w:val="22"/>
        </w:rPr>
        <w:t xml:space="preserve"> 2021</w:t>
      </w:r>
      <w:r w:rsidR="00B122B2" w:rsidRPr="003D632A">
        <w:rPr>
          <w:rFonts w:ascii="Lato" w:hAnsi="Lato"/>
          <w:sz w:val="22"/>
          <w:szCs w:val="22"/>
        </w:rPr>
        <w:t xml:space="preserve">. He pleaded guilty to a charge of possession of a </w:t>
      </w:r>
      <w:r w:rsidR="005074FF" w:rsidRPr="003D632A">
        <w:rPr>
          <w:rFonts w:ascii="Lato" w:hAnsi="Lato"/>
          <w:sz w:val="22"/>
          <w:szCs w:val="22"/>
        </w:rPr>
        <w:t>trafficable</w:t>
      </w:r>
      <w:r w:rsidR="00B122B2" w:rsidRPr="003D632A">
        <w:rPr>
          <w:rFonts w:ascii="Lato" w:hAnsi="Lato"/>
          <w:sz w:val="22"/>
          <w:szCs w:val="22"/>
        </w:rPr>
        <w:t xml:space="preserve"> quantity of a Schedule 1 drug (cocaine). He received a </w:t>
      </w:r>
      <w:r w:rsidR="00147881" w:rsidRPr="003D632A">
        <w:rPr>
          <w:rFonts w:ascii="Lato" w:hAnsi="Lato"/>
          <w:sz w:val="22"/>
          <w:szCs w:val="22"/>
        </w:rPr>
        <w:t>two-month</w:t>
      </w:r>
      <w:r w:rsidR="00B122B2" w:rsidRPr="003D632A">
        <w:rPr>
          <w:rFonts w:ascii="Lato" w:hAnsi="Lato"/>
          <w:sz w:val="22"/>
          <w:szCs w:val="22"/>
        </w:rPr>
        <w:t xml:space="preserve"> sentence of imprisonment, commencing on 19</w:t>
      </w:r>
      <w:r w:rsidR="00341025" w:rsidRPr="003D632A">
        <w:rPr>
          <w:rFonts w:ascii="Lato" w:hAnsi="Lato"/>
          <w:sz w:val="22"/>
          <w:szCs w:val="22"/>
        </w:rPr>
        <w:t> N</w:t>
      </w:r>
      <w:r w:rsidR="00B122B2" w:rsidRPr="003D632A">
        <w:rPr>
          <w:rFonts w:ascii="Lato" w:hAnsi="Lato"/>
          <w:sz w:val="22"/>
          <w:szCs w:val="22"/>
        </w:rPr>
        <w:t>ovember 2021. This was wholl</w:t>
      </w:r>
      <w:r w:rsidR="00147881" w:rsidRPr="003D632A">
        <w:rPr>
          <w:rFonts w:ascii="Lato" w:hAnsi="Lato"/>
          <w:sz w:val="22"/>
          <w:szCs w:val="22"/>
        </w:rPr>
        <w:t xml:space="preserve">y </w:t>
      </w:r>
      <w:r w:rsidR="00B122B2" w:rsidRPr="003D632A">
        <w:rPr>
          <w:rFonts w:ascii="Lato" w:hAnsi="Lato"/>
          <w:sz w:val="22"/>
          <w:szCs w:val="22"/>
        </w:rPr>
        <w:t>suspended for a period of 12 months, on the condition that he not commit another offence punishable by imprisonment.</w:t>
      </w:r>
    </w:p>
    <w:p w14:paraId="07542A5F" w14:textId="7DECD9FD" w:rsidR="00225204" w:rsidRPr="003D632A" w:rsidRDefault="00225204" w:rsidP="00341025">
      <w:pPr>
        <w:ind w:left="360"/>
        <w:jc w:val="both"/>
        <w:rPr>
          <w:rFonts w:ascii="Lato" w:hAnsi="Lato"/>
          <w:sz w:val="22"/>
          <w:szCs w:val="22"/>
        </w:rPr>
      </w:pPr>
    </w:p>
    <w:p w14:paraId="0273CC3B" w14:textId="2F6E96BA" w:rsidR="00225204" w:rsidRPr="003D632A" w:rsidRDefault="00225204" w:rsidP="00341025">
      <w:pPr>
        <w:ind w:left="360"/>
        <w:jc w:val="both"/>
        <w:rPr>
          <w:rFonts w:ascii="Lato" w:hAnsi="Lato"/>
          <w:sz w:val="22"/>
          <w:szCs w:val="22"/>
        </w:rPr>
      </w:pPr>
    </w:p>
    <w:p w14:paraId="40992641" w14:textId="40934C44" w:rsidR="00225204" w:rsidRPr="003D632A" w:rsidRDefault="00225204" w:rsidP="00341025">
      <w:pPr>
        <w:ind w:left="360"/>
        <w:jc w:val="both"/>
        <w:rPr>
          <w:rFonts w:ascii="Lato" w:hAnsi="Lato"/>
          <w:b/>
          <w:bCs/>
          <w:i/>
          <w:iCs/>
          <w:sz w:val="22"/>
          <w:szCs w:val="22"/>
        </w:rPr>
      </w:pPr>
      <w:r w:rsidRPr="003D632A">
        <w:rPr>
          <w:rFonts w:ascii="Lato" w:hAnsi="Lato"/>
          <w:b/>
          <w:bCs/>
          <w:i/>
          <w:iCs/>
          <w:sz w:val="22"/>
          <w:szCs w:val="22"/>
        </w:rPr>
        <w:t>T</w:t>
      </w:r>
      <w:r w:rsidR="0029308E" w:rsidRPr="003D632A">
        <w:rPr>
          <w:rFonts w:ascii="Lato" w:hAnsi="Lato"/>
          <w:b/>
          <w:bCs/>
          <w:i/>
          <w:iCs/>
          <w:sz w:val="22"/>
          <w:szCs w:val="22"/>
        </w:rPr>
        <w:t>he Inquiry on 25 November 2021</w:t>
      </w:r>
    </w:p>
    <w:p w14:paraId="05434F0C" w14:textId="023C2042" w:rsidR="00225204" w:rsidRPr="003D632A" w:rsidRDefault="00225204" w:rsidP="00341025">
      <w:pPr>
        <w:ind w:left="360"/>
        <w:jc w:val="both"/>
        <w:rPr>
          <w:rFonts w:ascii="Lato" w:hAnsi="Lato"/>
          <w:sz w:val="22"/>
          <w:szCs w:val="22"/>
        </w:rPr>
      </w:pPr>
    </w:p>
    <w:p w14:paraId="57AE2D7C" w14:textId="5A6F0FB3" w:rsidR="00225204" w:rsidRPr="003D632A" w:rsidRDefault="004F2340" w:rsidP="00341025">
      <w:pPr>
        <w:pStyle w:val="ListParagraph"/>
        <w:numPr>
          <w:ilvl w:val="0"/>
          <w:numId w:val="1"/>
        </w:numPr>
        <w:jc w:val="both"/>
        <w:rPr>
          <w:rFonts w:ascii="Lato" w:hAnsi="Lato"/>
          <w:sz w:val="22"/>
          <w:szCs w:val="22"/>
        </w:rPr>
      </w:pPr>
      <w:r w:rsidRPr="003D632A">
        <w:rPr>
          <w:rFonts w:ascii="Lato" w:hAnsi="Lato"/>
          <w:sz w:val="22"/>
          <w:szCs w:val="22"/>
        </w:rPr>
        <w:t>Mr Second</w:t>
      </w:r>
      <w:r w:rsidR="00583329" w:rsidRPr="003D632A">
        <w:rPr>
          <w:rFonts w:ascii="Lato" w:hAnsi="Lato"/>
          <w:sz w:val="22"/>
          <w:szCs w:val="22"/>
        </w:rPr>
        <w:t>is filed a fresh application for a Real Estate Licen</w:t>
      </w:r>
      <w:r w:rsidR="00CE144E" w:rsidRPr="003D632A">
        <w:rPr>
          <w:rFonts w:ascii="Lato" w:hAnsi="Lato"/>
          <w:sz w:val="22"/>
          <w:szCs w:val="22"/>
        </w:rPr>
        <w:t>ce</w:t>
      </w:r>
      <w:r w:rsidR="00583329" w:rsidRPr="003D632A">
        <w:rPr>
          <w:rFonts w:ascii="Lato" w:hAnsi="Lato"/>
          <w:sz w:val="22"/>
          <w:szCs w:val="22"/>
        </w:rPr>
        <w:t>, which was dated 23</w:t>
      </w:r>
      <w:r w:rsidR="00B34105">
        <w:rPr>
          <w:rFonts w:ascii="Lato" w:hAnsi="Lato"/>
          <w:sz w:val="22"/>
          <w:szCs w:val="22"/>
        </w:rPr>
        <w:t> </w:t>
      </w:r>
      <w:r w:rsidR="00583329" w:rsidRPr="003D632A">
        <w:rPr>
          <w:rFonts w:ascii="Lato" w:hAnsi="Lato"/>
          <w:sz w:val="22"/>
          <w:szCs w:val="22"/>
        </w:rPr>
        <w:t xml:space="preserve">November 2021.  Included in this application was a </w:t>
      </w:r>
      <w:r w:rsidR="00147881" w:rsidRPr="003D632A">
        <w:rPr>
          <w:rFonts w:ascii="Lato" w:hAnsi="Lato"/>
          <w:sz w:val="22"/>
          <w:szCs w:val="22"/>
        </w:rPr>
        <w:t xml:space="preserve">referee </w:t>
      </w:r>
      <w:r w:rsidR="00583329" w:rsidRPr="003D632A">
        <w:rPr>
          <w:rFonts w:ascii="Lato" w:hAnsi="Lato"/>
          <w:sz w:val="22"/>
          <w:szCs w:val="22"/>
        </w:rPr>
        <w:t xml:space="preserve">statement </w:t>
      </w:r>
      <w:r w:rsidR="007B1926">
        <w:rPr>
          <w:rFonts w:ascii="Lato" w:hAnsi="Lato"/>
          <w:sz w:val="22"/>
          <w:szCs w:val="22"/>
        </w:rPr>
        <w:t>from</w:t>
      </w:r>
      <w:r w:rsidR="00583329" w:rsidRPr="003D632A">
        <w:rPr>
          <w:rFonts w:ascii="Lato" w:hAnsi="Lato"/>
          <w:sz w:val="22"/>
          <w:szCs w:val="22"/>
        </w:rPr>
        <w:t xml:space="preserve"> a Michael McCarthy, who stated that in his opinion Mr Secondis was a person of good fame and character. This was signed and dated 23 November 2021.</w:t>
      </w:r>
      <w:r w:rsidR="00FC0B59">
        <w:rPr>
          <w:rFonts w:ascii="Lato" w:hAnsi="Lato"/>
          <w:sz w:val="22"/>
          <w:szCs w:val="22"/>
        </w:rPr>
        <w:t xml:space="preserve"> This fresh application replaced the previous application.</w:t>
      </w:r>
    </w:p>
    <w:p w14:paraId="3F98C3F0" w14:textId="66D712CF" w:rsidR="00B122B2" w:rsidRPr="003D632A" w:rsidRDefault="00B122B2" w:rsidP="00341025">
      <w:pPr>
        <w:pStyle w:val="ListParagraph"/>
        <w:jc w:val="both"/>
        <w:rPr>
          <w:rFonts w:ascii="Lato" w:hAnsi="Lato"/>
          <w:sz w:val="22"/>
          <w:szCs w:val="22"/>
        </w:rPr>
      </w:pPr>
    </w:p>
    <w:p w14:paraId="7EDA28F3" w14:textId="0703D3C7" w:rsidR="00583329" w:rsidRPr="003D632A" w:rsidRDefault="00DF4CE6" w:rsidP="00341025">
      <w:pPr>
        <w:pStyle w:val="ListParagraph"/>
        <w:numPr>
          <w:ilvl w:val="0"/>
          <w:numId w:val="1"/>
        </w:numPr>
        <w:jc w:val="both"/>
        <w:rPr>
          <w:rFonts w:ascii="Lato" w:hAnsi="Lato"/>
          <w:sz w:val="22"/>
          <w:szCs w:val="22"/>
        </w:rPr>
      </w:pPr>
      <w:r w:rsidRPr="003D632A">
        <w:rPr>
          <w:rFonts w:ascii="Lato" w:hAnsi="Lato"/>
          <w:sz w:val="22"/>
          <w:szCs w:val="22"/>
        </w:rPr>
        <w:t>Several</w:t>
      </w:r>
      <w:r w:rsidR="00E00326" w:rsidRPr="003D632A">
        <w:rPr>
          <w:rFonts w:ascii="Lato" w:hAnsi="Lato"/>
          <w:sz w:val="22"/>
          <w:szCs w:val="22"/>
        </w:rPr>
        <w:t xml:space="preserve"> character references were tendered on Mr Secondis’ behalf. They included the following: Ms Naomi Irvine, Ms Alice Burton, Mr Greg Thompson, Mr Joel Wecker, Ms</w:t>
      </w:r>
      <w:r w:rsidR="00341025" w:rsidRPr="003D632A">
        <w:rPr>
          <w:rFonts w:ascii="Lato" w:hAnsi="Lato"/>
          <w:sz w:val="22"/>
          <w:szCs w:val="22"/>
        </w:rPr>
        <w:t> </w:t>
      </w:r>
      <w:r w:rsidR="00E00326" w:rsidRPr="003D632A">
        <w:rPr>
          <w:rFonts w:ascii="Lato" w:hAnsi="Lato"/>
          <w:sz w:val="22"/>
          <w:szCs w:val="22"/>
        </w:rPr>
        <w:t>Lynne Anderson, Mr Michael McCarthy, Mr Savvas Savvas</w:t>
      </w:r>
      <w:r w:rsidR="00147881" w:rsidRPr="003D632A">
        <w:rPr>
          <w:rFonts w:ascii="Lato" w:hAnsi="Lato"/>
          <w:sz w:val="22"/>
          <w:szCs w:val="22"/>
        </w:rPr>
        <w:t xml:space="preserve"> and </w:t>
      </w:r>
      <w:r w:rsidR="00E00326" w:rsidRPr="003D632A">
        <w:rPr>
          <w:rFonts w:ascii="Lato" w:hAnsi="Lato"/>
          <w:sz w:val="22"/>
          <w:szCs w:val="22"/>
        </w:rPr>
        <w:t xml:space="preserve">Mr Damian </w:t>
      </w:r>
      <w:r w:rsidRPr="003D632A">
        <w:rPr>
          <w:rFonts w:ascii="Lato" w:hAnsi="Lato"/>
          <w:sz w:val="22"/>
          <w:szCs w:val="22"/>
        </w:rPr>
        <w:t>Butler</w:t>
      </w:r>
      <w:r w:rsidR="00E00326" w:rsidRPr="003D632A">
        <w:rPr>
          <w:rFonts w:ascii="Lato" w:hAnsi="Lato"/>
          <w:sz w:val="22"/>
          <w:szCs w:val="22"/>
        </w:rPr>
        <w:t>. In addition, the most recent real estate agent’s licen</w:t>
      </w:r>
      <w:r w:rsidR="00CE144E" w:rsidRPr="003D632A">
        <w:rPr>
          <w:rFonts w:ascii="Lato" w:hAnsi="Lato"/>
          <w:sz w:val="22"/>
          <w:szCs w:val="22"/>
        </w:rPr>
        <w:t>ce</w:t>
      </w:r>
      <w:r w:rsidR="00E00326" w:rsidRPr="003D632A">
        <w:rPr>
          <w:rFonts w:ascii="Lato" w:hAnsi="Lato"/>
          <w:sz w:val="22"/>
          <w:szCs w:val="22"/>
        </w:rPr>
        <w:t xml:space="preserve"> was tendered; as well as the Notice of </w:t>
      </w:r>
      <w:r w:rsidR="00341025" w:rsidRPr="003D632A">
        <w:rPr>
          <w:rFonts w:ascii="Lato" w:hAnsi="Lato"/>
          <w:sz w:val="22"/>
          <w:szCs w:val="22"/>
        </w:rPr>
        <w:t>S</w:t>
      </w:r>
      <w:r w:rsidR="00832D21" w:rsidRPr="003D632A">
        <w:rPr>
          <w:rFonts w:ascii="Lato" w:hAnsi="Lato"/>
          <w:sz w:val="22"/>
          <w:szCs w:val="22"/>
        </w:rPr>
        <w:t xml:space="preserve">uspended </w:t>
      </w:r>
      <w:r w:rsidR="00341025" w:rsidRPr="003D632A">
        <w:rPr>
          <w:rFonts w:ascii="Lato" w:hAnsi="Lato"/>
          <w:sz w:val="22"/>
          <w:szCs w:val="22"/>
        </w:rPr>
        <w:t>S</w:t>
      </w:r>
      <w:r w:rsidR="00832D21" w:rsidRPr="003D632A">
        <w:rPr>
          <w:rFonts w:ascii="Lato" w:hAnsi="Lato"/>
          <w:sz w:val="22"/>
          <w:szCs w:val="22"/>
        </w:rPr>
        <w:t xml:space="preserve">entence (from the Local Court, dated 19 November 2021). </w:t>
      </w:r>
      <w:r w:rsidR="00934929" w:rsidRPr="003D632A">
        <w:rPr>
          <w:rFonts w:ascii="Lato" w:hAnsi="Lato"/>
          <w:sz w:val="22"/>
          <w:szCs w:val="22"/>
        </w:rPr>
        <w:t>Mr</w:t>
      </w:r>
      <w:r w:rsidR="00341025" w:rsidRPr="003D632A">
        <w:rPr>
          <w:rFonts w:ascii="Lato" w:hAnsi="Lato"/>
          <w:sz w:val="22"/>
          <w:szCs w:val="22"/>
        </w:rPr>
        <w:t> Secondis’</w:t>
      </w:r>
      <w:r w:rsidR="00832D21" w:rsidRPr="003D632A">
        <w:rPr>
          <w:rFonts w:ascii="Lato" w:hAnsi="Lato"/>
          <w:sz w:val="22"/>
          <w:szCs w:val="22"/>
        </w:rPr>
        <w:t xml:space="preserve"> present application for a licen</w:t>
      </w:r>
      <w:r w:rsidR="00CE144E" w:rsidRPr="003D632A">
        <w:rPr>
          <w:rFonts w:ascii="Lato" w:hAnsi="Lato"/>
          <w:sz w:val="22"/>
          <w:szCs w:val="22"/>
        </w:rPr>
        <w:t>ce</w:t>
      </w:r>
      <w:r w:rsidR="00832D21" w:rsidRPr="003D632A">
        <w:rPr>
          <w:rFonts w:ascii="Lato" w:hAnsi="Lato"/>
          <w:sz w:val="22"/>
          <w:szCs w:val="22"/>
        </w:rPr>
        <w:t xml:space="preserve"> was tendered as well as the Inquiry book</w:t>
      </w:r>
      <w:r w:rsidR="00BF6E18" w:rsidRPr="003D632A">
        <w:rPr>
          <w:rFonts w:ascii="Lato" w:hAnsi="Lato"/>
          <w:sz w:val="22"/>
          <w:szCs w:val="22"/>
        </w:rPr>
        <w:t>.</w:t>
      </w:r>
      <w:r w:rsidR="009D1EBC" w:rsidRPr="003D632A">
        <w:rPr>
          <w:rFonts w:ascii="Lato" w:hAnsi="Lato"/>
          <w:sz w:val="22"/>
          <w:szCs w:val="22"/>
        </w:rPr>
        <w:t xml:space="preserve"> </w:t>
      </w:r>
      <w:r w:rsidR="00934929" w:rsidRPr="003D632A">
        <w:rPr>
          <w:rFonts w:ascii="Lato" w:hAnsi="Lato"/>
          <w:sz w:val="22"/>
          <w:szCs w:val="22"/>
        </w:rPr>
        <w:t>After the inquiry hearing</w:t>
      </w:r>
      <w:r w:rsidR="009D1EBC" w:rsidRPr="003D632A">
        <w:rPr>
          <w:rFonts w:ascii="Lato" w:hAnsi="Lato"/>
          <w:sz w:val="22"/>
          <w:szCs w:val="22"/>
        </w:rPr>
        <w:t>, a reference from Mr Q</w:t>
      </w:r>
      <w:r w:rsidR="00147881" w:rsidRPr="003D632A">
        <w:rPr>
          <w:rFonts w:ascii="Lato" w:hAnsi="Lato"/>
          <w:sz w:val="22"/>
          <w:szCs w:val="22"/>
        </w:rPr>
        <w:t>uentin</w:t>
      </w:r>
      <w:r w:rsidR="009D1EBC" w:rsidRPr="003D632A">
        <w:rPr>
          <w:rFonts w:ascii="Lato" w:hAnsi="Lato"/>
          <w:sz w:val="22"/>
          <w:szCs w:val="22"/>
        </w:rPr>
        <w:t xml:space="preserve"> Killian</w:t>
      </w:r>
      <w:r w:rsidR="00B249E9" w:rsidRPr="003D632A">
        <w:rPr>
          <w:rFonts w:ascii="Lato" w:hAnsi="Lato"/>
          <w:sz w:val="22"/>
          <w:szCs w:val="22"/>
        </w:rPr>
        <w:t xml:space="preserve"> (CEO of REINT) </w:t>
      </w:r>
      <w:r w:rsidR="009D1EBC" w:rsidRPr="003D632A">
        <w:rPr>
          <w:rFonts w:ascii="Lato" w:hAnsi="Lato"/>
          <w:sz w:val="22"/>
          <w:szCs w:val="22"/>
        </w:rPr>
        <w:t>was tendered</w:t>
      </w:r>
      <w:r w:rsidR="00F75197" w:rsidRPr="003D632A">
        <w:rPr>
          <w:rFonts w:ascii="Lato" w:hAnsi="Lato"/>
          <w:sz w:val="22"/>
          <w:szCs w:val="22"/>
        </w:rPr>
        <w:t>, as well as a personal letter from Mr Secondis to the Board.</w:t>
      </w:r>
    </w:p>
    <w:p w14:paraId="6CEE173F" w14:textId="77777777" w:rsidR="00832D21" w:rsidRPr="003D632A" w:rsidRDefault="00832D21" w:rsidP="00341025">
      <w:pPr>
        <w:pStyle w:val="ListParagraph"/>
        <w:jc w:val="both"/>
        <w:rPr>
          <w:rFonts w:ascii="Lato" w:hAnsi="Lato"/>
          <w:sz w:val="22"/>
          <w:szCs w:val="22"/>
        </w:rPr>
      </w:pPr>
    </w:p>
    <w:p w14:paraId="1D58A63C" w14:textId="33A5F3FE" w:rsidR="00832D21" w:rsidRPr="003D632A" w:rsidRDefault="00DF4CE6" w:rsidP="00341025">
      <w:pPr>
        <w:pStyle w:val="ListParagraph"/>
        <w:numPr>
          <w:ilvl w:val="0"/>
          <w:numId w:val="1"/>
        </w:numPr>
        <w:jc w:val="both"/>
        <w:rPr>
          <w:rFonts w:ascii="Lato" w:hAnsi="Lato"/>
          <w:sz w:val="22"/>
          <w:szCs w:val="22"/>
        </w:rPr>
      </w:pPr>
      <w:r w:rsidRPr="003D632A">
        <w:rPr>
          <w:rFonts w:ascii="Lato" w:hAnsi="Lato"/>
          <w:sz w:val="22"/>
          <w:szCs w:val="22"/>
        </w:rPr>
        <w:t>During</w:t>
      </w:r>
      <w:r w:rsidR="00BF6E18" w:rsidRPr="003D632A">
        <w:rPr>
          <w:rFonts w:ascii="Lato" w:hAnsi="Lato"/>
          <w:sz w:val="22"/>
          <w:szCs w:val="22"/>
        </w:rPr>
        <w:t xml:space="preserve"> the </w:t>
      </w:r>
      <w:r w:rsidR="00934929" w:rsidRPr="003D632A">
        <w:rPr>
          <w:rFonts w:ascii="Lato" w:hAnsi="Lato"/>
          <w:sz w:val="22"/>
          <w:szCs w:val="22"/>
        </w:rPr>
        <w:t>inquiry on 25 November 2021</w:t>
      </w:r>
      <w:r w:rsidR="00BF6E18" w:rsidRPr="003D632A">
        <w:rPr>
          <w:rFonts w:ascii="Lato" w:hAnsi="Lato"/>
          <w:sz w:val="22"/>
          <w:szCs w:val="22"/>
        </w:rPr>
        <w:t xml:space="preserve"> the facts of the offence to which Mr Secondis had pleaded guilty were obtained and tendered, without objection, in the proceedings.</w:t>
      </w:r>
    </w:p>
    <w:p w14:paraId="28D7C475" w14:textId="77777777" w:rsidR="00BF6E18" w:rsidRPr="003D632A" w:rsidRDefault="00BF6E18" w:rsidP="003D632A">
      <w:pPr>
        <w:jc w:val="both"/>
        <w:rPr>
          <w:rFonts w:ascii="Lato" w:hAnsi="Lato"/>
          <w:sz w:val="22"/>
          <w:szCs w:val="22"/>
        </w:rPr>
      </w:pPr>
    </w:p>
    <w:p w14:paraId="1F26A6C0" w14:textId="7C479ED5" w:rsidR="00BF6E18" w:rsidRPr="003D632A" w:rsidRDefault="00BF6E18" w:rsidP="00BF6E18">
      <w:pPr>
        <w:rPr>
          <w:rFonts w:ascii="Lato" w:hAnsi="Lato"/>
          <w:sz w:val="22"/>
          <w:szCs w:val="22"/>
        </w:rPr>
      </w:pPr>
    </w:p>
    <w:p w14:paraId="62A54524" w14:textId="5A151CF4" w:rsidR="00BF6E18" w:rsidRPr="003D632A" w:rsidRDefault="0029308E" w:rsidP="00BF6E18">
      <w:pPr>
        <w:rPr>
          <w:rFonts w:ascii="Lato" w:hAnsi="Lato"/>
          <w:b/>
          <w:bCs/>
          <w:i/>
          <w:iCs/>
          <w:sz w:val="22"/>
          <w:szCs w:val="22"/>
        </w:rPr>
      </w:pPr>
      <w:r w:rsidRPr="003D632A">
        <w:rPr>
          <w:rFonts w:ascii="Lato" w:hAnsi="Lato"/>
          <w:b/>
          <w:bCs/>
          <w:i/>
          <w:iCs/>
          <w:sz w:val="22"/>
          <w:szCs w:val="22"/>
        </w:rPr>
        <w:t>The relevant Legislation</w:t>
      </w:r>
    </w:p>
    <w:p w14:paraId="29968F98" w14:textId="100F71E5" w:rsidR="00BF6E18" w:rsidRPr="003D632A" w:rsidRDefault="00BF6E18" w:rsidP="00BF6E18">
      <w:pPr>
        <w:rPr>
          <w:rFonts w:ascii="Lato" w:hAnsi="Lato"/>
          <w:sz w:val="22"/>
          <w:szCs w:val="22"/>
        </w:rPr>
      </w:pPr>
    </w:p>
    <w:p w14:paraId="3B911018" w14:textId="73401DD1" w:rsidR="00BF6E18" w:rsidRPr="003D632A" w:rsidRDefault="002B062A" w:rsidP="00BF6E18">
      <w:pPr>
        <w:pStyle w:val="ListParagraph"/>
        <w:numPr>
          <w:ilvl w:val="0"/>
          <w:numId w:val="1"/>
        </w:numPr>
        <w:rPr>
          <w:rFonts w:ascii="Lato" w:hAnsi="Lato"/>
          <w:sz w:val="22"/>
          <w:szCs w:val="22"/>
        </w:rPr>
      </w:pPr>
      <w:r>
        <w:rPr>
          <w:rFonts w:ascii="Lato" w:hAnsi="Lato"/>
          <w:sz w:val="22"/>
          <w:szCs w:val="22"/>
        </w:rPr>
        <w:t xml:space="preserve">Pursuant to section 29 (1) of the Act the Board must consider an application for the grant of a licence and  (a) must grant the application, or (b) subject to Part 111, Div 3 of the Act, may refuse the application. </w:t>
      </w:r>
      <w:r w:rsidR="00BF6E18" w:rsidRPr="003D632A">
        <w:rPr>
          <w:rFonts w:ascii="Lato" w:hAnsi="Lato"/>
          <w:sz w:val="22"/>
          <w:szCs w:val="22"/>
        </w:rPr>
        <w:t xml:space="preserve"> </w:t>
      </w:r>
    </w:p>
    <w:p w14:paraId="1C3289FB" w14:textId="77777777" w:rsidR="00341025" w:rsidRPr="003D632A" w:rsidRDefault="00341025" w:rsidP="00341025">
      <w:pPr>
        <w:pStyle w:val="ListParagraph"/>
        <w:rPr>
          <w:rFonts w:ascii="Lato" w:hAnsi="Lato"/>
          <w:sz w:val="22"/>
          <w:szCs w:val="22"/>
        </w:rPr>
      </w:pPr>
    </w:p>
    <w:p w14:paraId="4492EDE9" w14:textId="67D0800F" w:rsidR="00BF6E18" w:rsidRPr="003D632A" w:rsidRDefault="00BF6E18" w:rsidP="00BF6E18">
      <w:pPr>
        <w:pStyle w:val="ListParagraph"/>
        <w:numPr>
          <w:ilvl w:val="0"/>
          <w:numId w:val="1"/>
        </w:numPr>
        <w:rPr>
          <w:rFonts w:ascii="Lato" w:hAnsi="Lato"/>
          <w:sz w:val="22"/>
          <w:szCs w:val="22"/>
        </w:rPr>
      </w:pPr>
      <w:r w:rsidRPr="003D632A">
        <w:rPr>
          <w:rFonts w:ascii="Lato" w:hAnsi="Lato"/>
          <w:sz w:val="22"/>
          <w:szCs w:val="22"/>
        </w:rPr>
        <w:t>Section 22 refers to the eligibility of a person (not being a company or firm) for a licen</w:t>
      </w:r>
      <w:r w:rsidR="00675724" w:rsidRPr="003D632A">
        <w:rPr>
          <w:rFonts w:ascii="Lato" w:hAnsi="Lato"/>
          <w:sz w:val="22"/>
          <w:szCs w:val="22"/>
        </w:rPr>
        <w:t>ce</w:t>
      </w:r>
      <w:r w:rsidRPr="003D632A">
        <w:rPr>
          <w:rFonts w:ascii="Lato" w:hAnsi="Lato"/>
          <w:sz w:val="22"/>
          <w:szCs w:val="22"/>
        </w:rPr>
        <w:t xml:space="preserve">. </w:t>
      </w:r>
      <w:r w:rsidR="00C96E4D" w:rsidRPr="003D632A">
        <w:rPr>
          <w:rFonts w:ascii="Lato" w:hAnsi="Lato"/>
          <w:sz w:val="22"/>
          <w:szCs w:val="22"/>
        </w:rPr>
        <w:t>It states, relevantly, as follows:</w:t>
      </w:r>
    </w:p>
    <w:p w14:paraId="230401CC" w14:textId="5B3DCA6B" w:rsidR="00C96E4D" w:rsidRPr="003D632A" w:rsidRDefault="00C96E4D" w:rsidP="00C96E4D">
      <w:pPr>
        <w:rPr>
          <w:rFonts w:ascii="Lato" w:hAnsi="Lato"/>
          <w:sz w:val="22"/>
          <w:szCs w:val="22"/>
        </w:rPr>
      </w:pPr>
    </w:p>
    <w:p w14:paraId="6C8B54F8" w14:textId="29220FFC" w:rsidR="00C96E4D" w:rsidRPr="003D632A" w:rsidRDefault="00C96E4D" w:rsidP="00C96E4D">
      <w:pPr>
        <w:pStyle w:val="ListParagraph"/>
        <w:numPr>
          <w:ilvl w:val="0"/>
          <w:numId w:val="2"/>
        </w:numPr>
        <w:rPr>
          <w:rFonts w:ascii="Lato" w:hAnsi="Lato"/>
          <w:i/>
          <w:iCs/>
          <w:sz w:val="22"/>
          <w:szCs w:val="22"/>
        </w:rPr>
      </w:pPr>
      <w:r w:rsidRPr="003D632A">
        <w:rPr>
          <w:rFonts w:ascii="Lato" w:hAnsi="Lato"/>
          <w:i/>
          <w:iCs/>
          <w:sz w:val="22"/>
          <w:szCs w:val="22"/>
        </w:rPr>
        <w:t>A person (not being a company or a firm) is eligible for the grant of a licen</w:t>
      </w:r>
      <w:r w:rsidR="00675724" w:rsidRPr="003D632A">
        <w:rPr>
          <w:rFonts w:ascii="Lato" w:hAnsi="Lato"/>
          <w:i/>
          <w:iCs/>
          <w:sz w:val="22"/>
          <w:szCs w:val="22"/>
        </w:rPr>
        <w:t>ce</w:t>
      </w:r>
      <w:r w:rsidRPr="003D632A">
        <w:rPr>
          <w:rFonts w:ascii="Lato" w:hAnsi="Lato"/>
          <w:i/>
          <w:iCs/>
          <w:sz w:val="22"/>
          <w:szCs w:val="22"/>
        </w:rPr>
        <w:t xml:space="preserve"> if the Board is satisfied that:</w:t>
      </w:r>
    </w:p>
    <w:p w14:paraId="5512F87B" w14:textId="53D36E3C" w:rsidR="00C96E4D" w:rsidRPr="003D632A" w:rsidRDefault="00C96E4D" w:rsidP="003D632A">
      <w:pPr>
        <w:pStyle w:val="ListParagraph"/>
        <w:ind w:left="1800" w:hanging="99"/>
        <w:rPr>
          <w:rFonts w:ascii="Lato" w:hAnsi="Lato"/>
          <w:i/>
          <w:iCs/>
          <w:sz w:val="22"/>
          <w:szCs w:val="22"/>
        </w:rPr>
      </w:pPr>
    </w:p>
    <w:p w14:paraId="4F916190" w14:textId="16D1CC3B" w:rsidR="00C96E4D" w:rsidRPr="003D632A" w:rsidRDefault="00C96E4D" w:rsidP="003D632A">
      <w:pPr>
        <w:pStyle w:val="ListParagraph"/>
        <w:numPr>
          <w:ilvl w:val="0"/>
          <w:numId w:val="3"/>
        </w:numPr>
        <w:tabs>
          <w:tab w:val="left" w:pos="2552"/>
        </w:tabs>
        <w:ind w:left="2268" w:hanging="141"/>
        <w:rPr>
          <w:rFonts w:ascii="Lato" w:hAnsi="Lato"/>
          <w:i/>
          <w:iCs/>
          <w:sz w:val="22"/>
          <w:szCs w:val="22"/>
        </w:rPr>
      </w:pPr>
      <w:r w:rsidRPr="003D632A">
        <w:rPr>
          <w:rFonts w:ascii="Lato" w:hAnsi="Lato"/>
          <w:i/>
          <w:iCs/>
          <w:sz w:val="22"/>
          <w:szCs w:val="22"/>
        </w:rPr>
        <w:t>He or she has attained the age of 18 years; and</w:t>
      </w:r>
    </w:p>
    <w:p w14:paraId="3CF68795" w14:textId="77777777" w:rsidR="003D632A" w:rsidRDefault="00C96E4D" w:rsidP="003D632A">
      <w:pPr>
        <w:pStyle w:val="ListParagraph"/>
        <w:numPr>
          <w:ilvl w:val="0"/>
          <w:numId w:val="3"/>
        </w:numPr>
        <w:tabs>
          <w:tab w:val="left" w:pos="2552"/>
        </w:tabs>
        <w:ind w:left="1800" w:firstLine="327"/>
        <w:rPr>
          <w:rFonts w:ascii="Lato" w:hAnsi="Lato"/>
          <w:i/>
          <w:iCs/>
          <w:sz w:val="22"/>
          <w:szCs w:val="22"/>
        </w:rPr>
      </w:pPr>
      <w:r w:rsidRPr="003D632A">
        <w:rPr>
          <w:rFonts w:ascii="Lato" w:hAnsi="Lato"/>
          <w:i/>
          <w:iCs/>
          <w:sz w:val="22"/>
          <w:szCs w:val="22"/>
        </w:rPr>
        <w:t xml:space="preserve">He or she is a fit and proper person within the meaning of section 20, </w:t>
      </w:r>
    </w:p>
    <w:p w14:paraId="4F7ACC7A" w14:textId="77777777" w:rsidR="003D632A" w:rsidRDefault="003D632A" w:rsidP="003D632A">
      <w:pPr>
        <w:pStyle w:val="ListParagraph"/>
        <w:tabs>
          <w:tab w:val="left" w:pos="2552"/>
        </w:tabs>
        <w:ind w:left="2127"/>
        <w:rPr>
          <w:rFonts w:ascii="Lato" w:hAnsi="Lato"/>
          <w:i/>
          <w:iCs/>
          <w:sz w:val="22"/>
          <w:szCs w:val="22"/>
        </w:rPr>
      </w:pPr>
    </w:p>
    <w:p w14:paraId="68D39005" w14:textId="54BF71BA" w:rsidR="00C96E4D" w:rsidRPr="003D632A" w:rsidRDefault="00C96E4D" w:rsidP="003D632A">
      <w:pPr>
        <w:pStyle w:val="ListParagraph"/>
        <w:tabs>
          <w:tab w:val="left" w:pos="2552"/>
        </w:tabs>
        <w:ind w:left="2127"/>
        <w:rPr>
          <w:rFonts w:ascii="Lato" w:hAnsi="Lato"/>
          <w:i/>
          <w:iCs/>
          <w:sz w:val="22"/>
          <w:szCs w:val="22"/>
        </w:rPr>
      </w:pPr>
      <w:r w:rsidRPr="003D632A">
        <w:rPr>
          <w:rFonts w:ascii="Lato" w:hAnsi="Lato"/>
          <w:i/>
          <w:iCs/>
          <w:sz w:val="22"/>
          <w:szCs w:val="22"/>
        </w:rPr>
        <w:t>and;</w:t>
      </w:r>
    </w:p>
    <w:p w14:paraId="6935C042" w14:textId="6A19969F" w:rsidR="00934929" w:rsidRPr="003D632A" w:rsidRDefault="00934929" w:rsidP="003D632A">
      <w:pPr>
        <w:ind w:left="1800" w:firstLine="327"/>
        <w:rPr>
          <w:rFonts w:ascii="Lato" w:hAnsi="Lato"/>
          <w:i/>
          <w:iCs/>
          <w:sz w:val="22"/>
          <w:szCs w:val="22"/>
        </w:rPr>
      </w:pPr>
    </w:p>
    <w:p w14:paraId="72B4467F" w14:textId="4EE3E979" w:rsidR="00934929" w:rsidRPr="003D632A" w:rsidRDefault="00934929" w:rsidP="003D632A">
      <w:pPr>
        <w:ind w:left="1440" w:firstLine="687"/>
        <w:rPr>
          <w:rFonts w:ascii="Lato" w:hAnsi="Lato"/>
          <w:i/>
          <w:iCs/>
          <w:sz w:val="22"/>
          <w:szCs w:val="22"/>
        </w:rPr>
      </w:pPr>
      <w:r w:rsidRPr="003D632A">
        <w:rPr>
          <w:rFonts w:ascii="Lato" w:hAnsi="Lato"/>
          <w:i/>
          <w:iCs/>
          <w:sz w:val="22"/>
          <w:szCs w:val="22"/>
        </w:rPr>
        <w:t>(further portions of the section are irrelevant to the application)</w:t>
      </w:r>
    </w:p>
    <w:p w14:paraId="1880B062" w14:textId="77777777" w:rsidR="00934929" w:rsidRPr="003D632A" w:rsidRDefault="00934929" w:rsidP="00934929">
      <w:pPr>
        <w:ind w:left="1440"/>
        <w:rPr>
          <w:rFonts w:ascii="Lato" w:hAnsi="Lato"/>
          <w:i/>
          <w:iCs/>
          <w:sz w:val="22"/>
          <w:szCs w:val="22"/>
        </w:rPr>
      </w:pPr>
    </w:p>
    <w:p w14:paraId="1077E434" w14:textId="60428A77" w:rsidR="00C96E4D" w:rsidRPr="003D632A" w:rsidRDefault="00C96E4D" w:rsidP="00C96E4D">
      <w:pPr>
        <w:pStyle w:val="ListParagraph"/>
        <w:numPr>
          <w:ilvl w:val="0"/>
          <w:numId w:val="1"/>
        </w:numPr>
        <w:rPr>
          <w:rFonts w:ascii="Lato" w:hAnsi="Lato"/>
          <w:sz w:val="22"/>
          <w:szCs w:val="22"/>
        </w:rPr>
      </w:pPr>
      <w:r w:rsidRPr="003D632A">
        <w:rPr>
          <w:rFonts w:ascii="Lato" w:hAnsi="Lato"/>
          <w:sz w:val="22"/>
          <w:szCs w:val="22"/>
        </w:rPr>
        <w:t>The term “</w:t>
      </w:r>
      <w:r w:rsidRPr="003D632A">
        <w:rPr>
          <w:rFonts w:ascii="Lato" w:hAnsi="Lato"/>
          <w:i/>
          <w:iCs/>
          <w:sz w:val="22"/>
          <w:szCs w:val="22"/>
        </w:rPr>
        <w:t>fit and proper person</w:t>
      </w:r>
      <w:r w:rsidRPr="003D632A">
        <w:rPr>
          <w:rFonts w:ascii="Lato" w:hAnsi="Lato"/>
          <w:sz w:val="22"/>
          <w:szCs w:val="22"/>
        </w:rPr>
        <w:t xml:space="preserve">” in section 22 (1) (b) is </w:t>
      </w:r>
      <w:r w:rsidR="00934929" w:rsidRPr="003D632A">
        <w:rPr>
          <w:rFonts w:ascii="Lato" w:hAnsi="Lato"/>
          <w:sz w:val="22"/>
          <w:szCs w:val="22"/>
        </w:rPr>
        <w:t>vital.</w:t>
      </w:r>
      <w:r w:rsidRPr="003D632A">
        <w:rPr>
          <w:rFonts w:ascii="Lato" w:hAnsi="Lato"/>
          <w:sz w:val="22"/>
          <w:szCs w:val="22"/>
        </w:rPr>
        <w:t xml:space="preserve"> The meaning of a </w:t>
      </w:r>
      <w:r w:rsidRPr="003D632A">
        <w:rPr>
          <w:rFonts w:ascii="Lato" w:hAnsi="Lato"/>
          <w:i/>
          <w:iCs/>
          <w:sz w:val="22"/>
          <w:szCs w:val="22"/>
        </w:rPr>
        <w:t>fit and proper person</w:t>
      </w:r>
      <w:r w:rsidRPr="003D632A">
        <w:rPr>
          <w:rFonts w:ascii="Lato" w:hAnsi="Lato"/>
          <w:sz w:val="22"/>
          <w:szCs w:val="22"/>
        </w:rPr>
        <w:t xml:space="preserve"> is stated in the Act, at s</w:t>
      </w:r>
      <w:r w:rsidR="00341025" w:rsidRPr="003D632A">
        <w:rPr>
          <w:rFonts w:ascii="Lato" w:hAnsi="Lato"/>
          <w:sz w:val="22"/>
          <w:szCs w:val="22"/>
        </w:rPr>
        <w:t>ection</w:t>
      </w:r>
      <w:r w:rsidRPr="003D632A">
        <w:rPr>
          <w:rFonts w:ascii="Lato" w:hAnsi="Lato"/>
          <w:sz w:val="22"/>
          <w:szCs w:val="22"/>
        </w:rPr>
        <w:t xml:space="preserve"> 20. Th</w:t>
      </w:r>
      <w:r w:rsidR="00941AB9" w:rsidRPr="003D632A">
        <w:rPr>
          <w:rFonts w:ascii="Lato" w:hAnsi="Lato"/>
          <w:sz w:val="22"/>
          <w:szCs w:val="22"/>
        </w:rPr>
        <w:t xml:space="preserve">e relevant parts of section 20 are </w:t>
      </w:r>
      <w:r w:rsidRPr="003D632A">
        <w:rPr>
          <w:rFonts w:ascii="Lato" w:hAnsi="Lato"/>
          <w:sz w:val="22"/>
          <w:szCs w:val="22"/>
        </w:rPr>
        <w:t>as follows;</w:t>
      </w:r>
    </w:p>
    <w:p w14:paraId="5C744C83" w14:textId="2F128AF5" w:rsidR="00C96E4D" w:rsidRPr="003D632A" w:rsidRDefault="00C96E4D" w:rsidP="00B34105">
      <w:pPr>
        <w:jc w:val="both"/>
        <w:rPr>
          <w:rFonts w:ascii="Lato" w:hAnsi="Lato"/>
          <w:sz w:val="22"/>
          <w:szCs w:val="22"/>
        </w:rPr>
      </w:pPr>
    </w:p>
    <w:p w14:paraId="7569A8A6" w14:textId="0F809B1C" w:rsidR="00C96E4D" w:rsidRPr="003D632A" w:rsidRDefault="00941AB9" w:rsidP="00B34105">
      <w:pPr>
        <w:ind w:left="720" w:firstLine="360"/>
        <w:jc w:val="both"/>
        <w:rPr>
          <w:rFonts w:ascii="Lato" w:hAnsi="Lato"/>
          <w:i/>
          <w:iCs/>
          <w:sz w:val="22"/>
          <w:szCs w:val="22"/>
        </w:rPr>
      </w:pPr>
      <w:r w:rsidRPr="003D632A">
        <w:rPr>
          <w:rFonts w:ascii="Lato" w:hAnsi="Lato"/>
          <w:i/>
          <w:iCs/>
          <w:sz w:val="22"/>
          <w:szCs w:val="22"/>
        </w:rPr>
        <w:t>“</w:t>
      </w:r>
      <w:r w:rsidR="00C96E4D" w:rsidRPr="003D632A">
        <w:rPr>
          <w:rFonts w:ascii="Lato" w:hAnsi="Lato"/>
          <w:i/>
          <w:iCs/>
          <w:sz w:val="22"/>
          <w:szCs w:val="22"/>
        </w:rPr>
        <w:t>20. Meaning of fit and proper person</w:t>
      </w:r>
    </w:p>
    <w:p w14:paraId="1FD35E1B" w14:textId="0ACDF0D4" w:rsidR="00C96E4D" w:rsidRPr="003D632A" w:rsidRDefault="00C96E4D" w:rsidP="00B34105">
      <w:pPr>
        <w:ind w:left="720"/>
        <w:jc w:val="both"/>
        <w:rPr>
          <w:rFonts w:ascii="Lato" w:hAnsi="Lato"/>
          <w:i/>
          <w:iCs/>
          <w:sz w:val="22"/>
          <w:szCs w:val="22"/>
        </w:rPr>
      </w:pPr>
    </w:p>
    <w:p w14:paraId="03732479" w14:textId="2861C8F6" w:rsidR="00EC7BCD" w:rsidRPr="003D632A" w:rsidRDefault="00EC7BCD" w:rsidP="00B34105">
      <w:pPr>
        <w:pStyle w:val="ListParagraph"/>
        <w:numPr>
          <w:ilvl w:val="0"/>
          <w:numId w:val="4"/>
        </w:numPr>
        <w:jc w:val="both"/>
        <w:rPr>
          <w:rFonts w:ascii="Lato" w:hAnsi="Lato"/>
          <w:i/>
          <w:iCs/>
          <w:sz w:val="22"/>
          <w:szCs w:val="22"/>
        </w:rPr>
      </w:pPr>
      <w:r w:rsidRPr="003D632A">
        <w:rPr>
          <w:rFonts w:ascii="Lato" w:hAnsi="Lato"/>
          <w:i/>
          <w:iCs/>
          <w:sz w:val="22"/>
          <w:szCs w:val="22"/>
        </w:rPr>
        <w:t>A natural person is a fit and proper person for the purposes of section 22, 25 or 39 if the person:</w:t>
      </w:r>
    </w:p>
    <w:p w14:paraId="4A674521" w14:textId="469F42EE" w:rsidR="00EC7BCD" w:rsidRPr="003D632A" w:rsidRDefault="00EC7BCD" w:rsidP="00B34105">
      <w:pPr>
        <w:jc w:val="both"/>
        <w:rPr>
          <w:rFonts w:ascii="Lato" w:hAnsi="Lato"/>
          <w:i/>
          <w:iCs/>
          <w:sz w:val="22"/>
          <w:szCs w:val="22"/>
        </w:rPr>
      </w:pPr>
    </w:p>
    <w:p w14:paraId="66D77C5A" w14:textId="0EE284E4" w:rsidR="00EC7BCD" w:rsidRPr="003D632A" w:rsidRDefault="00EC7BCD" w:rsidP="00B34105">
      <w:pPr>
        <w:pStyle w:val="ListParagraph"/>
        <w:numPr>
          <w:ilvl w:val="0"/>
          <w:numId w:val="5"/>
        </w:numPr>
        <w:ind w:left="2160" w:hanging="459"/>
        <w:jc w:val="both"/>
        <w:rPr>
          <w:rFonts w:ascii="Lato" w:hAnsi="Lato"/>
          <w:i/>
          <w:iCs/>
          <w:sz w:val="22"/>
          <w:szCs w:val="22"/>
        </w:rPr>
      </w:pPr>
      <w:r w:rsidRPr="003D632A">
        <w:rPr>
          <w:rFonts w:ascii="Lato" w:hAnsi="Lato"/>
          <w:i/>
          <w:iCs/>
          <w:sz w:val="22"/>
          <w:szCs w:val="22"/>
        </w:rPr>
        <w:t>Is not a disqualified person as determined in accordance with this section; and</w:t>
      </w:r>
    </w:p>
    <w:p w14:paraId="2310E483" w14:textId="600FFB30" w:rsidR="00EC7BCD" w:rsidRPr="003D632A" w:rsidRDefault="00EC7BCD" w:rsidP="00B34105">
      <w:pPr>
        <w:pStyle w:val="ListParagraph"/>
        <w:numPr>
          <w:ilvl w:val="0"/>
          <w:numId w:val="5"/>
        </w:numPr>
        <w:ind w:left="2160" w:hanging="459"/>
        <w:jc w:val="both"/>
        <w:rPr>
          <w:rFonts w:ascii="Lato" w:hAnsi="Lato"/>
          <w:i/>
          <w:iCs/>
          <w:sz w:val="22"/>
          <w:szCs w:val="22"/>
        </w:rPr>
      </w:pPr>
      <w:r w:rsidRPr="003D632A">
        <w:rPr>
          <w:rFonts w:ascii="Lato" w:hAnsi="Lato"/>
          <w:i/>
          <w:iCs/>
          <w:sz w:val="22"/>
          <w:szCs w:val="22"/>
        </w:rPr>
        <w:t>Is a person whose general reputation in the community (which may include a place outside the Territory) is such that the board is satisfied that the person will competently, conscientiously and honestly perform the duties of an agent in relation to the person's employees and clients, and</w:t>
      </w:r>
    </w:p>
    <w:p w14:paraId="0C20CD35" w14:textId="651FE864" w:rsidR="00EC7BCD" w:rsidRPr="003D632A" w:rsidRDefault="00EC7BCD" w:rsidP="00B34105">
      <w:pPr>
        <w:pStyle w:val="ListParagraph"/>
        <w:numPr>
          <w:ilvl w:val="0"/>
          <w:numId w:val="5"/>
        </w:numPr>
        <w:ind w:left="2160" w:hanging="459"/>
        <w:jc w:val="both"/>
        <w:rPr>
          <w:rFonts w:ascii="Lato" w:hAnsi="Lato"/>
          <w:i/>
          <w:iCs/>
          <w:sz w:val="22"/>
          <w:szCs w:val="22"/>
        </w:rPr>
      </w:pPr>
      <w:r w:rsidRPr="003D632A">
        <w:rPr>
          <w:rFonts w:ascii="Lato" w:hAnsi="Lato"/>
          <w:i/>
          <w:iCs/>
          <w:sz w:val="22"/>
          <w:szCs w:val="22"/>
        </w:rPr>
        <w:t xml:space="preserve">has completed the application for a licence frankly, </w:t>
      </w:r>
      <w:r w:rsidR="00D31AE4" w:rsidRPr="003D632A">
        <w:rPr>
          <w:rFonts w:ascii="Lato" w:hAnsi="Lato"/>
          <w:i/>
          <w:iCs/>
          <w:sz w:val="22"/>
          <w:szCs w:val="22"/>
        </w:rPr>
        <w:t>comprehensively,</w:t>
      </w:r>
      <w:r w:rsidRPr="003D632A">
        <w:rPr>
          <w:rFonts w:ascii="Lato" w:hAnsi="Lato"/>
          <w:i/>
          <w:iCs/>
          <w:sz w:val="22"/>
          <w:szCs w:val="22"/>
        </w:rPr>
        <w:t xml:space="preserve"> and honestly.</w:t>
      </w:r>
    </w:p>
    <w:p w14:paraId="09B57AEA" w14:textId="77777777" w:rsidR="00941AB9" w:rsidRPr="003D632A" w:rsidRDefault="00941AB9" w:rsidP="00B34105">
      <w:pPr>
        <w:pStyle w:val="ListParagraph"/>
        <w:ind w:left="2160" w:hanging="459"/>
        <w:jc w:val="both"/>
        <w:rPr>
          <w:rFonts w:ascii="Lato" w:hAnsi="Lato"/>
          <w:i/>
          <w:iCs/>
          <w:sz w:val="22"/>
          <w:szCs w:val="22"/>
        </w:rPr>
      </w:pPr>
    </w:p>
    <w:p w14:paraId="4B40F0D8" w14:textId="463691E5" w:rsidR="00EC7BCD" w:rsidRDefault="00EC7BCD" w:rsidP="00B34105">
      <w:pPr>
        <w:pStyle w:val="ListParagraph"/>
        <w:numPr>
          <w:ilvl w:val="0"/>
          <w:numId w:val="4"/>
        </w:numPr>
        <w:jc w:val="both"/>
        <w:rPr>
          <w:rFonts w:ascii="Lato" w:hAnsi="Lato"/>
          <w:i/>
          <w:iCs/>
          <w:sz w:val="22"/>
          <w:szCs w:val="22"/>
        </w:rPr>
      </w:pPr>
      <w:r w:rsidRPr="003D632A">
        <w:rPr>
          <w:rFonts w:ascii="Lato" w:hAnsi="Lato"/>
          <w:i/>
          <w:iCs/>
          <w:sz w:val="22"/>
          <w:szCs w:val="22"/>
        </w:rPr>
        <w:t>A person is a disqualified person for the purposes of subsection (1)(a) if the person:</w:t>
      </w:r>
    </w:p>
    <w:p w14:paraId="3687C9F2" w14:textId="77777777" w:rsidR="003D632A" w:rsidRPr="003D632A" w:rsidRDefault="003D632A" w:rsidP="00B34105">
      <w:pPr>
        <w:pStyle w:val="ListParagraph"/>
        <w:ind w:left="1440"/>
        <w:jc w:val="both"/>
        <w:rPr>
          <w:rFonts w:ascii="Lato" w:hAnsi="Lato"/>
          <w:i/>
          <w:iCs/>
          <w:sz w:val="22"/>
          <w:szCs w:val="22"/>
        </w:rPr>
      </w:pPr>
    </w:p>
    <w:p w14:paraId="0FD944B9" w14:textId="6CE256F1" w:rsidR="00EC7BCD" w:rsidRPr="003D632A" w:rsidRDefault="00EC7BCD" w:rsidP="00B34105">
      <w:pPr>
        <w:pStyle w:val="ListParagraph"/>
        <w:numPr>
          <w:ilvl w:val="0"/>
          <w:numId w:val="6"/>
        </w:numPr>
        <w:ind w:left="2160" w:hanging="459"/>
        <w:jc w:val="both"/>
        <w:rPr>
          <w:rFonts w:ascii="Lato" w:hAnsi="Lato"/>
          <w:i/>
          <w:iCs/>
          <w:sz w:val="22"/>
          <w:szCs w:val="22"/>
        </w:rPr>
      </w:pPr>
      <w:r w:rsidRPr="003D632A">
        <w:rPr>
          <w:rFonts w:ascii="Lato" w:hAnsi="Lato"/>
          <w:i/>
          <w:iCs/>
          <w:sz w:val="22"/>
          <w:szCs w:val="22"/>
        </w:rPr>
        <w:t xml:space="preserve">has in the 10 years immediately before the person applied for the licence, being found guilty ( whether or not in the Territory) of a prescribed offence or an offence that involves dishonesty or violence or is an offence against the Misuse of Drugs </w:t>
      </w:r>
      <w:r w:rsidR="00F53F6C" w:rsidRPr="003D632A">
        <w:rPr>
          <w:rFonts w:ascii="Lato" w:hAnsi="Lato"/>
          <w:i/>
          <w:iCs/>
          <w:sz w:val="22"/>
          <w:szCs w:val="22"/>
        </w:rPr>
        <w:t>A</w:t>
      </w:r>
      <w:r w:rsidRPr="003D632A">
        <w:rPr>
          <w:rFonts w:ascii="Lato" w:hAnsi="Lato"/>
          <w:i/>
          <w:iCs/>
          <w:sz w:val="22"/>
          <w:szCs w:val="22"/>
        </w:rPr>
        <w:t>ct 1990, the Kav</w:t>
      </w:r>
      <w:r w:rsidR="00941AB9" w:rsidRPr="003D632A">
        <w:rPr>
          <w:rFonts w:ascii="Lato" w:hAnsi="Lato"/>
          <w:i/>
          <w:iCs/>
          <w:sz w:val="22"/>
          <w:szCs w:val="22"/>
        </w:rPr>
        <w:t>a Management Act 1998, or a corresponding law declared under subsection 8.</w:t>
      </w:r>
    </w:p>
    <w:p w14:paraId="348AF86E" w14:textId="07955F4F" w:rsidR="00B056AE" w:rsidRPr="003D632A" w:rsidRDefault="00B056AE" w:rsidP="00B34105">
      <w:pPr>
        <w:ind w:left="2160" w:hanging="459"/>
        <w:jc w:val="both"/>
        <w:rPr>
          <w:rFonts w:ascii="Lato" w:hAnsi="Lato"/>
          <w:i/>
          <w:iCs/>
          <w:sz w:val="22"/>
          <w:szCs w:val="22"/>
        </w:rPr>
      </w:pPr>
    </w:p>
    <w:p w14:paraId="08760337" w14:textId="54F47DAF" w:rsidR="00B056AE" w:rsidRPr="003D632A" w:rsidRDefault="00B056AE" w:rsidP="00B34105">
      <w:pPr>
        <w:ind w:left="2160" w:hanging="459"/>
        <w:jc w:val="both"/>
        <w:rPr>
          <w:rFonts w:ascii="Lato" w:hAnsi="Lato"/>
          <w:i/>
          <w:iCs/>
          <w:sz w:val="22"/>
          <w:szCs w:val="22"/>
        </w:rPr>
      </w:pPr>
      <w:r w:rsidRPr="003D632A">
        <w:rPr>
          <w:rFonts w:ascii="Lato" w:hAnsi="Lato"/>
          <w:i/>
          <w:iCs/>
          <w:sz w:val="22"/>
          <w:szCs w:val="22"/>
        </w:rPr>
        <w:t>(references to (b)-(f) are not referred to- due to irrelevance to this application)</w:t>
      </w:r>
    </w:p>
    <w:p w14:paraId="0099E82F" w14:textId="77777777" w:rsidR="00B056AE" w:rsidRPr="003D632A" w:rsidRDefault="00B056AE" w:rsidP="00B34105">
      <w:pPr>
        <w:jc w:val="both"/>
        <w:rPr>
          <w:rFonts w:ascii="Lato" w:hAnsi="Lato"/>
          <w:i/>
          <w:iCs/>
          <w:sz w:val="22"/>
          <w:szCs w:val="22"/>
        </w:rPr>
      </w:pPr>
    </w:p>
    <w:p w14:paraId="62516706" w14:textId="5D5BAC12" w:rsidR="00941AB9" w:rsidRDefault="00941AB9" w:rsidP="00B34105">
      <w:pPr>
        <w:pStyle w:val="ListParagraph"/>
        <w:numPr>
          <w:ilvl w:val="0"/>
          <w:numId w:val="4"/>
        </w:numPr>
        <w:jc w:val="both"/>
        <w:rPr>
          <w:rFonts w:ascii="Lato" w:hAnsi="Lato"/>
          <w:i/>
          <w:iCs/>
          <w:sz w:val="22"/>
          <w:szCs w:val="22"/>
        </w:rPr>
      </w:pPr>
      <w:r w:rsidRPr="003D632A">
        <w:rPr>
          <w:rFonts w:ascii="Lato" w:hAnsi="Lato"/>
          <w:i/>
          <w:iCs/>
          <w:sz w:val="22"/>
          <w:szCs w:val="22"/>
        </w:rPr>
        <w:t>The Board may determine that an offence referred to in subjection (2)(a) is not to be taken into account for the purposes of this section:</w:t>
      </w:r>
    </w:p>
    <w:p w14:paraId="20E52048" w14:textId="77777777" w:rsidR="00B34105" w:rsidRPr="003D632A" w:rsidRDefault="00B34105" w:rsidP="00B34105">
      <w:pPr>
        <w:pStyle w:val="ListParagraph"/>
        <w:ind w:left="1440"/>
        <w:jc w:val="both"/>
        <w:rPr>
          <w:rFonts w:ascii="Lato" w:hAnsi="Lato"/>
          <w:i/>
          <w:iCs/>
          <w:sz w:val="22"/>
          <w:szCs w:val="22"/>
        </w:rPr>
      </w:pPr>
    </w:p>
    <w:p w14:paraId="08E78C05" w14:textId="4B084965" w:rsidR="00941AB9" w:rsidRPr="003D632A" w:rsidRDefault="00941AB9" w:rsidP="00B34105">
      <w:pPr>
        <w:pStyle w:val="ListParagraph"/>
        <w:numPr>
          <w:ilvl w:val="0"/>
          <w:numId w:val="7"/>
        </w:numPr>
        <w:ind w:hanging="99"/>
        <w:jc w:val="both"/>
        <w:rPr>
          <w:rFonts w:ascii="Lato" w:hAnsi="Lato"/>
          <w:i/>
          <w:iCs/>
          <w:sz w:val="22"/>
          <w:szCs w:val="22"/>
        </w:rPr>
      </w:pPr>
      <w:r w:rsidRPr="003D632A">
        <w:rPr>
          <w:rFonts w:ascii="Lato" w:hAnsi="Lato"/>
          <w:i/>
          <w:iCs/>
          <w:sz w:val="22"/>
          <w:szCs w:val="22"/>
        </w:rPr>
        <w:t>because of the time that has passed since the offence was committed; or</w:t>
      </w:r>
    </w:p>
    <w:p w14:paraId="54C47E3B" w14:textId="789DF260" w:rsidR="00941AB9" w:rsidRPr="003D632A" w:rsidRDefault="00941AB9" w:rsidP="00B34105">
      <w:pPr>
        <w:pStyle w:val="ListParagraph"/>
        <w:numPr>
          <w:ilvl w:val="0"/>
          <w:numId w:val="7"/>
        </w:numPr>
        <w:ind w:hanging="99"/>
        <w:jc w:val="both"/>
        <w:rPr>
          <w:rFonts w:ascii="Lato" w:hAnsi="Lato"/>
          <w:iCs/>
          <w:sz w:val="22"/>
          <w:szCs w:val="22"/>
        </w:rPr>
      </w:pPr>
      <w:r w:rsidRPr="003D632A">
        <w:rPr>
          <w:rFonts w:ascii="Lato" w:hAnsi="Lato"/>
          <w:i/>
          <w:iCs/>
          <w:sz w:val="22"/>
          <w:szCs w:val="22"/>
        </w:rPr>
        <w:t>because the act or omission constituting the offence was trivial</w:t>
      </w:r>
      <w:r w:rsidR="00B34105">
        <w:rPr>
          <w:rFonts w:ascii="Lato" w:hAnsi="Lato"/>
          <w:i/>
          <w:iCs/>
          <w:sz w:val="22"/>
          <w:szCs w:val="22"/>
        </w:rPr>
        <w:t>”</w:t>
      </w:r>
      <w:r w:rsidRPr="003D632A">
        <w:rPr>
          <w:rFonts w:ascii="Lato" w:hAnsi="Lato"/>
          <w:i/>
          <w:iCs/>
          <w:sz w:val="22"/>
          <w:szCs w:val="22"/>
        </w:rPr>
        <w:t>.</w:t>
      </w:r>
    </w:p>
    <w:p w14:paraId="05E5FFE6" w14:textId="39B5B708" w:rsidR="00941AB9" w:rsidRPr="003D632A" w:rsidRDefault="00941AB9" w:rsidP="00B34105">
      <w:pPr>
        <w:pStyle w:val="ListParagraph"/>
        <w:ind w:left="1800"/>
        <w:jc w:val="both"/>
        <w:rPr>
          <w:rFonts w:ascii="Lato" w:hAnsi="Lato"/>
          <w:iCs/>
          <w:sz w:val="22"/>
          <w:szCs w:val="22"/>
        </w:rPr>
      </w:pPr>
    </w:p>
    <w:p w14:paraId="38234279" w14:textId="001F2E6F" w:rsidR="00941AB9" w:rsidRPr="003D632A" w:rsidRDefault="007B4217" w:rsidP="00FF2577">
      <w:pPr>
        <w:pStyle w:val="ListParagraph"/>
        <w:numPr>
          <w:ilvl w:val="0"/>
          <w:numId w:val="1"/>
        </w:numPr>
        <w:jc w:val="both"/>
        <w:rPr>
          <w:rFonts w:ascii="Lato" w:hAnsi="Lato"/>
          <w:iCs/>
          <w:sz w:val="22"/>
          <w:szCs w:val="22"/>
        </w:rPr>
      </w:pPr>
      <w:r w:rsidRPr="00F63A6B">
        <w:rPr>
          <w:rFonts w:ascii="Lato" w:hAnsi="Lato"/>
          <w:i/>
          <w:iCs/>
          <w:sz w:val="22"/>
          <w:szCs w:val="22"/>
        </w:rPr>
        <w:t>Section 20</w:t>
      </w:r>
      <w:r w:rsidRPr="003D632A">
        <w:rPr>
          <w:rFonts w:ascii="Lato" w:hAnsi="Lato"/>
          <w:sz w:val="22"/>
          <w:szCs w:val="22"/>
        </w:rPr>
        <w:t xml:space="preserve"> </w:t>
      </w:r>
      <w:r w:rsidR="00833BE6" w:rsidRPr="003D632A">
        <w:rPr>
          <w:rFonts w:ascii="Lato" w:hAnsi="Lato"/>
          <w:sz w:val="22"/>
          <w:szCs w:val="22"/>
        </w:rPr>
        <w:t xml:space="preserve">essentially requires three things </w:t>
      </w:r>
      <w:r w:rsidR="00DF4CE6" w:rsidRPr="003D632A">
        <w:rPr>
          <w:rFonts w:ascii="Lato" w:hAnsi="Lato"/>
          <w:sz w:val="22"/>
          <w:szCs w:val="22"/>
        </w:rPr>
        <w:t>for</w:t>
      </w:r>
      <w:r w:rsidR="00833BE6" w:rsidRPr="003D632A">
        <w:rPr>
          <w:rFonts w:ascii="Lato" w:hAnsi="Lato"/>
          <w:sz w:val="22"/>
          <w:szCs w:val="22"/>
        </w:rPr>
        <w:t xml:space="preserve"> a person to be considered a fit and proper person under the Act, the first of which </w:t>
      </w:r>
      <w:r w:rsidR="00B4373F" w:rsidRPr="003D632A">
        <w:rPr>
          <w:rFonts w:ascii="Lato" w:hAnsi="Lato"/>
          <w:sz w:val="22"/>
          <w:szCs w:val="22"/>
        </w:rPr>
        <w:t xml:space="preserve">is </w:t>
      </w:r>
      <w:r w:rsidR="00833BE6" w:rsidRPr="003D632A">
        <w:rPr>
          <w:rFonts w:ascii="Lato" w:hAnsi="Lato"/>
          <w:sz w:val="22"/>
          <w:szCs w:val="22"/>
        </w:rPr>
        <w:t xml:space="preserve">that the person not be a disqualified person under the Act. </w:t>
      </w:r>
      <w:r w:rsidRPr="003D632A">
        <w:rPr>
          <w:rFonts w:ascii="Lato" w:hAnsi="Lato"/>
          <w:sz w:val="22"/>
          <w:szCs w:val="22"/>
        </w:rPr>
        <w:t xml:space="preserve">It is not necessary to consider the other two. </w:t>
      </w:r>
      <w:r w:rsidR="00833BE6" w:rsidRPr="003D632A">
        <w:rPr>
          <w:rFonts w:ascii="Lato" w:hAnsi="Lato"/>
          <w:sz w:val="22"/>
          <w:szCs w:val="22"/>
        </w:rPr>
        <w:t xml:space="preserve">The conviction for the possession </w:t>
      </w:r>
      <w:r w:rsidR="005074FF" w:rsidRPr="003D632A">
        <w:rPr>
          <w:rFonts w:ascii="Lato" w:hAnsi="Lato"/>
          <w:sz w:val="22"/>
          <w:szCs w:val="22"/>
        </w:rPr>
        <w:t>trafficable</w:t>
      </w:r>
      <w:r w:rsidR="00833BE6" w:rsidRPr="003D632A">
        <w:rPr>
          <w:rFonts w:ascii="Lato" w:hAnsi="Lato"/>
          <w:sz w:val="22"/>
          <w:szCs w:val="22"/>
        </w:rPr>
        <w:t xml:space="preserve"> quantity of</w:t>
      </w:r>
      <w:r w:rsidR="00F53F6C" w:rsidRPr="003D632A">
        <w:rPr>
          <w:rFonts w:ascii="Lato" w:hAnsi="Lato"/>
          <w:sz w:val="22"/>
          <w:szCs w:val="22"/>
        </w:rPr>
        <w:t xml:space="preserve"> cocaine</w:t>
      </w:r>
      <w:r w:rsidR="00833BE6" w:rsidRPr="003D632A">
        <w:rPr>
          <w:rFonts w:ascii="Lato" w:hAnsi="Lato"/>
          <w:sz w:val="22"/>
          <w:szCs w:val="22"/>
        </w:rPr>
        <w:t xml:space="preserve"> constituted an offence against the </w:t>
      </w:r>
      <w:r w:rsidR="00833BE6" w:rsidRPr="003D632A">
        <w:rPr>
          <w:rFonts w:ascii="Lato" w:hAnsi="Lato"/>
          <w:i/>
          <w:iCs/>
          <w:sz w:val="22"/>
          <w:szCs w:val="22"/>
        </w:rPr>
        <w:t>Misuse of Drugs Act 1990</w:t>
      </w:r>
      <w:r w:rsidRPr="003D632A">
        <w:rPr>
          <w:rFonts w:ascii="Lato" w:hAnsi="Lato"/>
          <w:sz w:val="22"/>
          <w:szCs w:val="22"/>
        </w:rPr>
        <w:t>, and triggered the application of section 20 (1)(a).</w:t>
      </w:r>
    </w:p>
    <w:p w14:paraId="5D678DED" w14:textId="77777777" w:rsidR="00833BE6" w:rsidRPr="003D632A" w:rsidRDefault="00833BE6" w:rsidP="00FF2577">
      <w:pPr>
        <w:pStyle w:val="ListParagraph"/>
        <w:jc w:val="both"/>
        <w:rPr>
          <w:rFonts w:ascii="Lato" w:hAnsi="Lato"/>
          <w:iCs/>
          <w:sz w:val="22"/>
          <w:szCs w:val="22"/>
        </w:rPr>
      </w:pPr>
    </w:p>
    <w:p w14:paraId="33E405A2" w14:textId="79AA10E7" w:rsidR="0029308E" w:rsidRPr="00F63A6B" w:rsidRDefault="00833BE6" w:rsidP="00F63A6B">
      <w:pPr>
        <w:pStyle w:val="ListParagraph"/>
        <w:numPr>
          <w:ilvl w:val="0"/>
          <w:numId w:val="1"/>
        </w:numPr>
        <w:jc w:val="both"/>
        <w:rPr>
          <w:rFonts w:ascii="Lato" w:hAnsi="Lato"/>
          <w:iCs/>
          <w:sz w:val="22"/>
          <w:szCs w:val="22"/>
        </w:rPr>
      </w:pPr>
      <w:r w:rsidRPr="003D632A">
        <w:rPr>
          <w:rFonts w:ascii="Lato" w:hAnsi="Lato"/>
          <w:sz w:val="22"/>
          <w:szCs w:val="22"/>
        </w:rPr>
        <w:t>A key issue arose as to whether th</w:t>
      </w:r>
      <w:r w:rsidR="00911A0F" w:rsidRPr="003D632A">
        <w:rPr>
          <w:rFonts w:ascii="Lato" w:hAnsi="Lato"/>
          <w:sz w:val="22"/>
          <w:szCs w:val="22"/>
        </w:rPr>
        <w:t>e</w:t>
      </w:r>
      <w:r w:rsidRPr="003D632A">
        <w:rPr>
          <w:rFonts w:ascii="Lato" w:hAnsi="Lato"/>
          <w:sz w:val="22"/>
          <w:szCs w:val="22"/>
        </w:rPr>
        <w:t xml:space="preserve"> conviction could be taken into account</w:t>
      </w:r>
      <w:r w:rsidR="00F53F6C" w:rsidRPr="003D632A">
        <w:rPr>
          <w:rFonts w:ascii="Lato" w:hAnsi="Lato"/>
          <w:sz w:val="22"/>
          <w:szCs w:val="22"/>
        </w:rPr>
        <w:t xml:space="preserve"> under s</w:t>
      </w:r>
      <w:r w:rsidR="005B7D11" w:rsidRPr="003D632A">
        <w:rPr>
          <w:rFonts w:ascii="Lato" w:hAnsi="Lato"/>
          <w:sz w:val="22"/>
          <w:szCs w:val="22"/>
        </w:rPr>
        <w:t>ection</w:t>
      </w:r>
      <w:r w:rsidR="00F53F6C" w:rsidRPr="003D632A">
        <w:rPr>
          <w:rFonts w:ascii="Lato" w:hAnsi="Lato"/>
          <w:sz w:val="22"/>
          <w:szCs w:val="22"/>
        </w:rPr>
        <w:t xml:space="preserve"> 20 (3) of the Act. </w:t>
      </w:r>
      <w:r w:rsidRPr="003D632A">
        <w:rPr>
          <w:rFonts w:ascii="Lato" w:hAnsi="Lato"/>
          <w:sz w:val="22"/>
          <w:szCs w:val="22"/>
        </w:rPr>
        <w:t xml:space="preserve">Counsel for the applicant contended that it could not, for the reason, that it met the definition of “trivial” </w:t>
      </w:r>
      <w:r w:rsidR="00F76E50" w:rsidRPr="003D632A">
        <w:rPr>
          <w:rFonts w:ascii="Lato" w:hAnsi="Lato"/>
          <w:sz w:val="22"/>
          <w:szCs w:val="22"/>
        </w:rPr>
        <w:t xml:space="preserve">specified </w:t>
      </w:r>
      <w:r w:rsidRPr="003D632A">
        <w:rPr>
          <w:rFonts w:ascii="Lato" w:hAnsi="Lato"/>
          <w:sz w:val="22"/>
          <w:szCs w:val="22"/>
        </w:rPr>
        <w:t>in subsection (3)</w:t>
      </w:r>
      <w:r w:rsidR="00F53F6C" w:rsidRPr="003D632A">
        <w:rPr>
          <w:rFonts w:ascii="Lato" w:hAnsi="Lato"/>
          <w:sz w:val="22"/>
          <w:szCs w:val="22"/>
        </w:rPr>
        <w:t>.</w:t>
      </w:r>
      <w:r w:rsidR="00A76209" w:rsidRPr="003D632A">
        <w:rPr>
          <w:rFonts w:ascii="Lato" w:hAnsi="Lato"/>
          <w:sz w:val="22"/>
          <w:szCs w:val="22"/>
        </w:rPr>
        <w:t xml:space="preserve"> The word </w:t>
      </w:r>
      <w:r w:rsidR="00675724" w:rsidRPr="003D632A">
        <w:rPr>
          <w:rFonts w:ascii="Lato" w:hAnsi="Lato"/>
          <w:sz w:val="22"/>
          <w:szCs w:val="22"/>
        </w:rPr>
        <w:t>“t</w:t>
      </w:r>
      <w:r w:rsidR="00A76209" w:rsidRPr="003D632A">
        <w:rPr>
          <w:rFonts w:ascii="Lato" w:hAnsi="Lato"/>
          <w:sz w:val="22"/>
          <w:szCs w:val="22"/>
        </w:rPr>
        <w:t>rivial</w:t>
      </w:r>
      <w:r w:rsidR="00675724" w:rsidRPr="003D632A">
        <w:rPr>
          <w:rFonts w:ascii="Lato" w:hAnsi="Lato"/>
          <w:sz w:val="22"/>
          <w:szCs w:val="22"/>
        </w:rPr>
        <w:t xml:space="preserve">” </w:t>
      </w:r>
      <w:r w:rsidR="00F76E50" w:rsidRPr="003D632A">
        <w:rPr>
          <w:rFonts w:ascii="Lato" w:hAnsi="Lato"/>
          <w:sz w:val="22"/>
          <w:szCs w:val="22"/>
        </w:rPr>
        <w:t>is</w:t>
      </w:r>
      <w:r w:rsidR="00A76209" w:rsidRPr="003D632A">
        <w:rPr>
          <w:rFonts w:ascii="Lato" w:hAnsi="Lato"/>
          <w:sz w:val="22"/>
          <w:szCs w:val="22"/>
        </w:rPr>
        <w:t xml:space="preserve"> not defined in th</w:t>
      </w:r>
      <w:r w:rsidR="00F63A6B">
        <w:rPr>
          <w:rFonts w:ascii="Lato" w:hAnsi="Lato"/>
          <w:sz w:val="22"/>
          <w:szCs w:val="22"/>
        </w:rPr>
        <w:t xml:space="preserve">e </w:t>
      </w:r>
      <w:r w:rsidR="00A76209" w:rsidRPr="003D632A">
        <w:rPr>
          <w:rFonts w:ascii="Lato" w:hAnsi="Lato"/>
          <w:sz w:val="22"/>
          <w:szCs w:val="22"/>
        </w:rPr>
        <w:t>Act</w:t>
      </w:r>
      <w:r w:rsidR="00F63A6B">
        <w:rPr>
          <w:rFonts w:ascii="Lato" w:hAnsi="Lato"/>
          <w:sz w:val="22"/>
          <w:szCs w:val="22"/>
        </w:rPr>
        <w:t>.</w:t>
      </w:r>
      <w:r w:rsidR="00B34105" w:rsidRPr="00F63A6B">
        <w:rPr>
          <w:rFonts w:ascii="Lato" w:hAnsi="Lato"/>
          <w:sz w:val="22"/>
          <w:szCs w:val="22"/>
        </w:rPr>
        <w:br w:type="column"/>
      </w:r>
    </w:p>
    <w:p w14:paraId="7DAFBDE1" w14:textId="0F3432D3" w:rsidR="0029308E" w:rsidRPr="00B34105" w:rsidRDefault="0029308E" w:rsidP="00B34105">
      <w:pPr>
        <w:rPr>
          <w:rFonts w:ascii="Lato" w:hAnsi="Lato"/>
          <w:b/>
          <w:bCs/>
          <w:iCs/>
          <w:sz w:val="22"/>
          <w:szCs w:val="22"/>
        </w:rPr>
      </w:pPr>
      <w:r w:rsidRPr="00B34105">
        <w:rPr>
          <w:rFonts w:ascii="Lato" w:hAnsi="Lato"/>
          <w:b/>
          <w:bCs/>
          <w:iCs/>
          <w:sz w:val="22"/>
          <w:szCs w:val="22"/>
        </w:rPr>
        <w:t>Clarification as to the offence that the applicant pleaded guilty to</w:t>
      </w:r>
    </w:p>
    <w:p w14:paraId="472FE663" w14:textId="77777777" w:rsidR="0029308E" w:rsidRPr="003D632A" w:rsidRDefault="0029308E" w:rsidP="0029308E">
      <w:pPr>
        <w:rPr>
          <w:rFonts w:ascii="Lato" w:hAnsi="Lato"/>
          <w:b/>
          <w:bCs/>
          <w:iCs/>
          <w:sz w:val="22"/>
          <w:szCs w:val="22"/>
        </w:rPr>
      </w:pPr>
    </w:p>
    <w:p w14:paraId="2FFAD7D9" w14:textId="001394B7" w:rsidR="008F1027" w:rsidRPr="003D632A" w:rsidRDefault="00911A0F" w:rsidP="008F1027">
      <w:pPr>
        <w:pStyle w:val="ListParagraph"/>
        <w:numPr>
          <w:ilvl w:val="0"/>
          <w:numId w:val="1"/>
        </w:numPr>
        <w:jc w:val="both"/>
        <w:rPr>
          <w:rFonts w:ascii="Lato" w:hAnsi="Lato"/>
          <w:iCs/>
          <w:sz w:val="22"/>
          <w:szCs w:val="22"/>
        </w:rPr>
      </w:pPr>
      <w:r w:rsidRPr="003D632A">
        <w:rPr>
          <w:rFonts w:ascii="Lato" w:hAnsi="Lato"/>
          <w:sz w:val="22"/>
          <w:szCs w:val="22"/>
        </w:rPr>
        <w:t>A preliminary matter is what</w:t>
      </w:r>
      <w:r w:rsidR="00F53F6C" w:rsidRPr="003D632A">
        <w:rPr>
          <w:rFonts w:ascii="Lato" w:hAnsi="Lato"/>
          <w:sz w:val="22"/>
          <w:szCs w:val="22"/>
        </w:rPr>
        <w:t xml:space="preserve"> precisely was the offence to which the applicant pleaded guilty. The</w:t>
      </w:r>
      <w:r w:rsidR="00A76209" w:rsidRPr="003D632A">
        <w:rPr>
          <w:rFonts w:ascii="Lato" w:hAnsi="Lato"/>
          <w:sz w:val="22"/>
          <w:szCs w:val="22"/>
        </w:rPr>
        <w:t xml:space="preserve"> formal document</w:t>
      </w:r>
      <w:r w:rsidR="00F76E50" w:rsidRPr="003D632A">
        <w:rPr>
          <w:rFonts w:ascii="Lato" w:hAnsi="Lato"/>
          <w:sz w:val="22"/>
          <w:szCs w:val="22"/>
        </w:rPr>
        <w:t xml:space="preserve"> specifying the imposition of penalty</w:t>
      </w:r>
      <w:r w:rsidR="00A76209" w:rsidRPr="003D632A">
        <w:rPr>
          <w:rFonts w:ascii="Lato" w:hAnsi="Lato"/>
          <w:sz w:val="22"/>
          <w:szCs w:val="22"/>
        </w:rPr>
        <w:t xml:space="preserve"> list</w:t>
      </w:r>
      <w:r w:rsidR="00F76E50" w:rsidRPr="003D632A">
        <w:rPr>
          <w:rFonts w:ascii="Lato" w:hAnsi="Lato"/>
          <w:sz w:val="22"/>
          <w:szCs w:val="22"/>
        </w:rPr>
        <w:t>ed</w:t>
      </w:r>
      <w:r w:rsidR="00A76209" w:rsidRPr="003D632A">
        <w:rPr>
          <w:rFonts w:ascii="Lato" w:hAnsi="Lato"/>
          <w:sz w:val="22"/>
          <w:szCs w:val="22"/>
        </w:rPr>
        <w:t xml:space="preserve"> the offence</w:t>
      </w:r>
      <w:r w:rsidR="00F76E50" w:rsidRPr="003D632A">
        <w:rPr>
          <w:rFonts w:ascii="Lato" w:hAnsi="Lato"/>
          <w:sz w:val="22"/>
          <w:szCs w:val="22"/>
        </w:rPr>
        <w:t xml:space="preserve"> as</w:t>
      </w:r>
      <w:r w:rsidR="008F1027" w:rsidRPr="003D632A">
        <w:rPr>
          <w:rFonts w:ascii="Lato" w:hAnsi="Lato"/>
          <w:sz w:val="22"/>
          <w:szCs w:val="22"/>
        </w:rPr>
        <w:t xml:space="preserve"> offence 2- </w:t>
      </w:r>
      <w:r w:rsidR="00A76209" w:rsidRPr="003D632A">
        <w:rPr>
          <w:rFonts w:ascii="Lato" w:hAnsi="Lato"/>
          <w:sz w:val="22"/>
          <w:szCs w:val="22"/>
        </w:rPr>
        <w:t>“</w:t>
      </w:r>
      <w:r w:rsidR="00A76209" w:rsidRPr="003D632A">
        <w:rPr>
          <w:rFonts w:ascii="Lato" w:hAnsi="Lato"/>
          <w:iCs/>
          <w:sz w:val="22"/>
          <w:szCs w:val="22"/>
        </w:rPr>
        <w:t>Poss schd 1 traf qty pub</w:t>
      </w:r>
      <w:r w:rsidR="00A76209" w:rsidRPr="003D632A">
        <w:rPr>
          <w:rFonts w:ascii="Lato" w:hAnsi="Lato"/>
          <w:sz w:val="22"/>
          <w:szCs w:val="22"/>
        </w:rPr>
        <w:t xml:space="preserve">”. This </w:t>
      </w:r>
      <w:r w:rsidR="00F53F6C" w:rsidRPr="003D632A">
        <w:rPr>
          <w:rFonts w:ascii="Lato" w:hAnsi="Lato"/>
          <w:sz w:val="22"/>
          <w:szCs w:val="22"/>
        </w:rPr>
        <w:t>is</w:t>
      </w:r>
      <w:r w:rsidR="00A76209" w:rsidRPr="003D632A">
        <w:rPr>
          <w:rFonts w:ascii="Lato" w:hAnsi="Lato"/>
          <w:sz w:val="22"/>
          <w:szCs w:val="22"/>
        </w:rPr>
        <w:t xml:space="preserve"> consistent with the </w:t>
      </w:r>
      <w:r w:rsidR="00F53F6C" w:rsidRPr="003D632A">
        <w:rPr>
          <w:rFonts w:ascii="Lato" w:hAnsi="Lato"/>
          <w:sz w:val="22"/>
          <w:szCs w:val="22"/>
        </w:rPr>
        <w:t xml:space="preserve">offence being </w:t>
      </w:r>
      <w:r w:rsidRPr="003D632A">
        <w:rPr>
          <w:rFonts w:ascii="Lato" w:hAnsi="Lato"/>
          <w:sz w:val="22"/>
          <w:szCs w:val="22"/>
        </w:rPr>
        <w:t xml:space="preserve">charge 2 - </w:t>
      </w:r>
      <w:r w:rsidR="00A76209" w:rsidRPr="003D632A">
        <w:rPr>
          <w:rFonts w:ascii="Lato" w:hAnsi="Lato"/>
          <w:iCs/>
          <w:sz w:val="22"/>
          <w:szCs w:val="22"/>
        </w:rPr>
        <w:t xml:space="preserve">Possess schedule 1 </w:t>
      </w:r>
      <w:r w:rsidR="005074FF" w:rsidRPr="003D632A">
        <w:rPr>
          <w:rFonts w:ascii="Lato" w:hAnsi="Lato"/>
          <w:iCs/>
          <w:sz w:val="22"/>
          <w:szCs w:val="22"/>
        </w:rPr>
        <w:t>trafficable</w:t>
      </w:r>
      <w:r w:rsidR="00A76209" w:rsidRPr="003D632A">
        <w:rPr>
          <w:rFonts w:ascii="Lato" w:hAnsi="Lato"/>
          <w:iCs/>
          <w:sz w:val="22"/>
          <w:szCs w:val="22"/>
        </w:rPr>
        <w:t xml:space="preserve"> quantity of a dangerous drug in a public place.</w:t>
      </w:r>
      <w:r w:rsidR="00A76209" w:rsidRPr="003D632A">
        <w:rPr>
          <w:rFonts w:ascii="Lato" w:hAnsi="Lato"/>
          <w:sz w:val="22"/>
          <w:szCs w:val="22"/>
        </w:rPr>
        <w:t xml:space="preserve"> This </w:t>
      </w:r>
      <w:r w:rsidR="00F53F6C" w:rsidRPr="003D632A">
        <w:rPr>
          <w:rFonts w:ascii="Lato" w:hAnsi="Lato"/>
          <w:sz w:val="22"/>
          <w:szCs w:val="22"/>
        </w:rPr>
        <w:t xml:space="preserve"> particular </w:t>
      </w:r>
      <w:r w:rsidR="00A76209" w:rsidRPr="003D632A">
        <w:rPr>
          <w:rFonts w:ascii="Lato" w:hAnsi="Lato"/>
          <w:sz w:val="22"/>
          <w:szCs w:val="22"/>
        </w:rPr>
        <w:t xml:space="preserve">offence is contained in </w:t>
      </w:r>
      <w:r w:rsidR="00A76209" w:rsidRPr="003D632A">
        <w:rPr>
          <w:rFonts w:ascii="Lato" w:hAnsi="Lato"/>
          <w:iCs/>
          <w:sz w:val="22"/>
          <w:szCs w:val="22"/>
        </w:rPr>
        <w:t xml:space="preserve">section 7C (1) of the </w:t>
      </w:r>
      <w:r w:rsidR="00A76209" w:rsidRPr="003D632A">
        <w:rPr>
          <w:rFonts w:ascii="Lato" w:hAnsi="Lato"/>
          <w:i/>
          <w:iCs/>
          <w:sz w:val="22"/>
          <w:szCs w:val="22"/>
        </w:rPr>
        <w:t>Misuse of Drugs Act</w:t>
      </w:r>
      <w:r w:rsidR="005B7D11" w:rsidRPr="003D632A">
        <w:rPr>
          <w:rFonts w:ascii="Lato" w:hAnsi="Lato"/>
          <w:i/>
          <w:iCs/>
          <w:sz w:val="22"/>
          <w:szCs w:val="22"/>
        </w:rPr>
        <w:t xml:space="preserve"> 1990</w:t>
      </w:r>
      <w:r w:rsidR="00A76209" w:rsidRPr="003D632A">
        <w:rPr>
          <w:rFonts w:ascii="Lato" w:hAnsi="Lato"/>
          <w:sz w:val="22"/>
          <w:szCs w:val="22"/>
        </w:rPr>
        <w:t>.</w:t>
      </w:r>
      <w:r w:rsidR="00FF2577" w:rsidRPr="003D632A">
        <w:rPr>
          <w:rFonts w:ascii="Lato" w:hAnsi="Lato"/>
          <w:sz w:val="22"/>
          <w:szCs w:val="22"/>
        </w:rPr>
        <w:t xml:space="preserve"> The maximum penalty for this offence is 14 years</w:t>
      </w:r>
      <w:r w:rsidR="00022DA1" w:rsidRPr="003D632A">
        <w:rPr>
          <w:rFonts w:ascii="Lato" w:hAnsi="Lato"/>
          <w:sz w:val="22"/>
          <w:szCs w:val="22"/>
        </w:rPr>
        <w:t xml:space="preserve"> imprisonment. </w:t>
      </w:r>
      <w:r w:rsidR="00FF2577" w:rsidRPr="003D632A">
        <w:rPr>
          <w:rFonts w:ascii="Lato" w:hAnsi="Lato"/>
          <w:sz w:val="22"/>
          <w:szCs w:val="22"/>
        </w:rPr>
        <w:t xml:space="preserve"> </w:t>
      </w:r>
      <w:r w:rsidR="00F76E50" w:rsidRPr="003D632A">
        <w:rPr>
          <w:rFonts w:ascii="Lato" w:hAnsi="Lato"/>
          <w:sz w:val="22"/>
          <w:szCs w:val="22"/>
        </w:rPr>
        <w:t>A copy of the charge sheet</w:t>
      </w:r>
      <w:r w:rsidR="00FF2577" w:rsidRPr="003D632A">
        <w:rPr>
          <w:rFonts w:ascii="Lato" w:hAnsi="Lato"/>
          <w:sz w:val="22"/>
          <w:szCs w:val="22"/>
        </w:rPr>
        <w:t xml:space="preserve"> to which Mr Secondis pleaded was neither tendered </w:t>
      </w:r>
      <w:r w:rsidR="00DF4CE6" w:rsidRPr="003D632A">
        <w:rPr>
          <w:rFonts w:ascii="Lato" w:hAnsi="Lato"/>
          <w:sz w:val="22"/>
          <w:szCs w:val="22"/>
        </w:rPr>
        <w:t>nor</w:t>
      </w:r>
      <w:r w:rsidR="00FF2577" w:rsidRPr="003D632A">
        <w:rPr>
          <w:rFonts w:ascii="Lato" w:hAnsi="Lato"/>
          <w:sz w:val="22"/>
          <w:szCs w:val="22"/>
        </w:rPr>
        <w:t xml:space="preserve"> specified in the proceedings. The difficulty with a charge carrying 14 years is that this offence cannot be dealt with summarily- that is, to finality in the Local Court</w:t>
      </w:r>
      <w:r w:rsidR="00080C84" w:rsidRPr="003D632A">
        <w:rPr>
          <w:rStyle w:val="FootnoteReference"/>
          <w:rFonts w:ascii="Lato" w:hAnsi="Lato"/>
          <w:sz w:val="22"/>
          <w:szCs w:val="22"/>
        </w:rPr>
        <w:footnoteReference w:id="2"/>
      </w:r>
      <w:r w:rsidR="00FF2577" w:rsidRPr="003D632A">
        <w:rPr>
          <w:rFonts w:ascii="Lato" w:hAnsi="Lato"/>
          <w:sz w:val="22"/>
          <w:szCs w:val="22"/>
        </w:rPr>
        <w:t>. The transcript of the proceedings (which was</w:t>
      </w:r>
      <w:r w:rsidR="00F76E50" w:rsidRPr="003D632A">
        <w:rPr>
          <w:rFonts w:ascii="Lato" w:hAnsi="Lato"/>
          <w:sz w:val="22"/>
          <w:szCs w:val="22"/>
        </w:rPr>
        <w:t xml:space="preserve"> </w:t>
      </w:r>
      <w:r w:rsidR="00FF2577" w:rsidRPr="003D632A">
        <w:rPr>
          <w:rFonts w:ascii="Lato" w:hAnsi="Lato"/>
          <w:sz w:val="22"/>
          <w:szCs w:val="22"/>
        </w:rPr>
        <w:t xml:space="preserve">obtained </w:t>
      </w:r>
      <w:r w:rsidR="00F76E50" w:rsidRPr="003D632A">
        <w:rPr>
          <w:rFonts w:ascii="Lato" w:hAnsi="Lato"/>
          <w:sz w:val="22"/>
          <w:szCs w:val="22"/>
        </w:rPr>
        <w:t xml:space="preserve">after the hearing </w:t>
      </w:r>
      <w:r w:rsidR="00FF2577" w:rsidRPr="003D632A">
        <w:rPr>
          <w:rFonts w:ascii="Lato" w:hAnsi="Lato"/>
          <w:sz w:val="22"/>
          <w:szCs w:val="22"/>
        </w:rPr>
        <w:t>and tendered</w:t>
      </w:r>
      <w:r w:rsidR="00F76E50" w:rsidRPr="003D632A">
        <w:rPr>
          <w:rFonts w:ascii="Lato" w:hAnsi="Lato"/>
          <w:sz w:val="22"/>
          <w:szCs w:val="22"/>
        </w:rPr>
        <w:t xml:space="preserve"> in these pro</w:t>
      </w:r>
      <w:r w:rsidR="00022DA1" w:rsidRPr="003D632A">
        <w:rPr>
          <w:rFonts w:ascii="Lato" w:hAnsi="Lato"/>
          <w:sz w:val="22"/>
          <w:szCs w:val="22"/>
        </w:rPr>
        <w:t>c</w:t>
      </w:r>
      <w:r w:rsidR="00F76E50" w:rsidRPr="003D632A">
        <w:rPr>
          <w:rFonts w:ascii="Lato" w:hAnsi="Lato"/>
          <w:sz w:val="22"/>
          <w:szCs w:val="22"/>
        </w:rPr>
        <w:t>eedings</w:t>
      </w:r>
      <w:r w:rsidR="00FF2577" w:rsidRPr="003D632A">
        <w:rPr>
          <w:rFonts w:ascii="Lato" w:hAnsi="Lato"/>
          <w:sz w:val="22"/>
          <w:szCs w:val="22"/>
        </w:rPr>
        <w:t>) contains a statement by the prosecutor that the offence to which Mr</w:t>
      </w:r>
      <w:r w:rsidR="005B7D11" w:rsidRPr="003D632A">
        <w:rPr>
          <w:rFonts w:ascii="Lato" w:hAnsi="Lato"/>
          <w:sz w:val="22"/>
          <w:szCs w:val="22"/>
        </w:rPr>
        <w:t> </w:t>
      </w:r>
      <w:r w:rsidR="00FF2577" w:rsidRPr="003D632A">
        <w:rPr>
          <w:rFonts w:ascii="Lato" w:hAnsi="Lato"/>
          <w:sz w:val="22"/>
          <w:szCs w:val="22"/>
        </w:rPr>
        <w:t>Secondis</w:t>
      </w:r>
      <w:r w:rsidR="008F1027" w:rsidRPr="003D632A">
        <w:rPr>
          <w:rFonts w:ascii="Lato" w:hAnsi="Lato"/>
          <w:sz w:val="22"/>
          <w:szCs w:val="22"/>
        </w:rPr>
        <w:t xml:space="preserve"> </w:t>
      </w:r>
      <w:r w:rsidR="00FF2577" w:rsidRPr="003D632A">
        <w:rPr>
          <w:rFonts w:ascii="Lato" w:hAnsi="Lato"/>
          <w:sz w:val="22"/>
          <w:szCs w:val="22"/>
        </w:rPr>
        <w:t>pleaded guilty</w:t>
      </w:r>
      <w:r w:rsidR="00F76E50" w:rsidRPr="003D632A">
        <w:rPr>
          <w:rFonts w:ascii="Lato" w:hAnsi="Lato"/>
          <w:sz w:val="22"/>
          <w:szCs w:val="22"/>
        </w:rPr>
        <w:t xml:space="preserve"> was </w:t>
      </w:r>
      <w:r w:rsidR="008F1027" w:rsidRPr="003D632A">
        <w:rPr>
          <w:rFonts w:ascii="Lato" w:hAnsi="Lato"/>
          <w:sz w:val="22"/>
          <w:szCs w:val="22"/>
        </w:rPr>
        <w:t xml:space="preserve">charge 2, </w:t>
      </w:r>
      <w:r w:rsidR="008F1027" w:rsidRPr="003D632A">
        <w:rPr>
          <w:rStyle w:val="FootnoteReference"/>
          <w:rFonts w:ascii="Lato" w:hAnsi="Lato"/>
          <w:sz w:val="22"/>
          <w:szCs w:val="22"/>
        </w:rPr>
        <w:footnoteReference w:id="3"/>
      </w:r>
      <w:r w:rsidR="00FF2577" w:rsidRPr="003D632A">
        <w:rPr>
          <w:rFonts w:ascii="Lato" w:hAnsi="Lato"/>
          <w:sz w:val="22"/>
          <w:szCs w:val="22"/>
        </w:rPr>
        <w:t xml:space="preserve"> </w:t>
      </w:r>
      <w:r w:rsidR="00F76E50" w:rsidRPr="003D632A">
        <w:rPr>
          <w:rFonts w:ascii="Lato" w:hAnsi="Lato"/>
          <w:sz w:val="22"/>
          <w:szCs w:val="22"/>
        </w:rPr>
        <w:t>which</w:t>
      </w:r>
      <w:r w:rsidR="00240834" w:rsidRPr="003D632A">
        <w:rPr>
          <w:rFonts w:ascii="Lato" w:hAnsi="Lato"/>
          <w:sz w:val="22"/>
          <w:szCs w:val="22"/>
        </w:rPr>
        <w:t>,</w:t>
      </w:r>
      <w:r w:rsidR="00F76E50" w:rsidRPr="003D632A">
        <w:rPr>
          <w:rFonts w:ascii="Lato" w:hAnsi="Lato"/>
          <w:sz w:val="22"/>
          <w:szCs w:val="22"/>
        </w:rPr>
        <w:t xml:space="preserve"> he said</w:t>
      </w:r>
      <w:r w:rsidR="00240834" w:rsidRPr="003D632A">
        <w:rPr>
          <w:rFonts w:ascii="Lato" w:hAnsi="Lato"/>
          <w:sz w:val="22"/>
          <w:szCs w:val="22"/>
        </w:rPr>
        <w:t xml:space="preserve">, </w:t>
      </w:r>
      <w:r w:rsidR="00F76E50" w:rsidRPr="003D632A">
        <w:rPr>
          <w:rFonts w:ascii="Lato" w:hAnsi="Lato"/>
          <w:sz w:val="22"/>
          <w:szCs w:val="22"/>
        </w:rPr>
        <w:t xml:space="preserve"> </w:t>
      </w:r>
      <w:r w:rsidR="00FF2577" w:rsidRPr="003D632A">
        <w:rPr>
          <w:rFonts w:ascii="Lato" w:hAnsi="Lato"/>
          <w:sz w:val="22"/>
          <w:szCs w:val="22"/>
        </w:rPr>
        <w:t>carried a maximum penalty of 7 years</w:t>
      </w:r>
      <w:r w:rsidR="008F1027" w:rsidRPr="003D632A">
        <w:rPr>
          <w:rStyle w:val="FootnoteReference"/>
          <w:rFonts w:ascii="Lato" w:hAnsi="Lato"/>
          <w:sz w:val="22"/>
          <w:szCs w:val="22"/>
        </w:rPr>
        <w:footnoteReference w:id="4"/>
      </w:r>
      <w:r w:rsidR="00FF2577" w:rsidRPr="003D632A">
        <w:rPr>
          <w:rFonts w:ascii="Lato" w:hAnsi="Lato"/>
          <w:sz w:val="22"/>
          <w:szCs w:val="22"/>
        </w:rPr>
        <w:t xml:space="preserve">. </w:t>
      </w:r>
      <w:r w:rsidR="008F1027" w:rsidRPr="003D632A">
        <w:rPr>
          <w:rFonts w:ascii="Lato" w:hAnsi="Lato"/>
          <w:sz w:val="22"/>
          <w:szCs w:val="22"/>
        </w:rPr>
        <w:t xml:space="preserve">Whilst the reference to charge 2 is consistent with it being the same charge as that referred to </w:t>
      </w:r>
      <w:r w:rsidR="00C972F2" w:rsidRPr="003D632A">
        <w:rPr>
          <w:rFonts w:ascii="Lato" w:hAnsi="Lato"/>
          <w:sz w:val="22"/>
          <w:szCs w:val="22"/>
        </w:rPr>
        <w:t>in t</w:t>
      </w:r>
      <w:r w:rsidR="00F76E50" w:rsidRPr="003D632A">
        <w:rPr>
          <w:rFonts w:ascii="Lato" w:hAnsi="Lato"/>
          <w:sz w:val="22"/>
          <w:szCs w:val="22"/>
        </w:rPr>
        <w:t xml:space="preserve">he formal court </w:t>
      </w:r>
      <w:r w:rsidR="00C972F2" w:rsidRPr="003D632A">
        <w:rPr>
          <w:rFonts w:ascii="Lato" w:hAnsi="Lato"/>
          <w:sz w:val="22"/>
          <w:szCs w:val="22"/>
        </w:rPr>
        <w:t xml:space="preserve">sentencing </w:t>
      </w:r>
      <w:r w:rsidR="00F76E50" w:rsidRPr="003D632A">
        <w:rPr>
          <w:rFonts w:ascii="Lato" w:hAnsi="Lato"/>
          <w:sz w:val="22"/>
          <w:szCs w:val="22"/>
        </w:rPr>
        <w:t>document</w:t>
      </w:r>
      <w:r w:rsidR="00C972F2" w:rsidRPr="003D632A">
        <w:rPr>
          <w:rFonts w:ascii="Lato" w:hAnsi="Lato"/>
          <w:sz w:val="22"/>
          <w:szCs w:val="22"/>
        </w:rPr>
        <w:t xml:space="preserve"> (which refers to charge 2)</w:t>
      </w:r>
      <w:r w:rsidR="00F76E50" w:rsidRPr="003D632A">
        <w:rPr>
          <w:rFonts w:ascii="Lato" w:hAnsi="Lato"/>
          <w:sz w:val="22"/>
          <w:szCs w:val="22"/>
        </w:rPr>
        <w:t xml:space="preserve"> </w:t>
      </w:r>
      <w:r w:rsidR="008F1027" w:rsidRPr="003D632A">
        <w:rPr>
          <w:rFonts w:ascii="Lato" w:hAnsi="Lato"/>
          <w:sz w:val="22"/>
          <w:szCs w:val="22"/>
        </w:rPr>
        <w:t xml:space="preserve">the absence of </w:t>
      </w:r>
      <w:r w:rsidR="00080C84" w:rsidRPr="003D632A">
        <w:rPr>
          <w:rFonts w:ascii="Lato" w:hAnsi="Lato"/>
          <w:sz w:val="22"/>
          <w:szCs w:val="22"/>
        </w:rPr>
        <w:t xml:space="preserve">a copy of the </w:t>
      </w:r>
      <w:r w:rsidR="008F1027" w:rsidRPr="003D632A">
        <w:rPr>
          <w:rFonts w:ascii="Lato" w:hAnsi="Lato"/>
          <w:sz w:val="22"/>
          <w:szCs w:val="22"/>
        </w:rPr>
        <w:t xml:space="preserve">charge </w:t>
      </w:r>
      <w:r w:rsidRPr="003D632A">
        <w:rPr>
          <w:rFonts w:ascii="Lato" w:hAnsi="Lato"/>
          <w:sz w:val="22"/>
          <w:szCs w:val="22"/>
        </w:rPr>
        <w:t xml:space="preserve">document used in Court </w:t>
      </w:r>
      <w:r w:rsidR="008F1027" w:rsidRPr="003D632A">
        <w:rPr>
          <w:rFonts w:ascii="Lato" w:hAnsi="Lato"/>
          <w:sz w:val="22"/>
          <w:szCs w:val="22"/>
        </w:rPr>
        <w:t xml:space="preserve">and the </w:t>
      </w:r>
      <w:r w:rsidR="00022DA1" w:rsidRPr="003D632A">
        <w:rPr>
          <w:rFonts w:ascii="Lato" w:hAnsi="Lato"/>
          <w:sz w:val="22"/>
          <w:szCs w:val="22"/>
        </w:rPr>
        <w:t xml:space="preserve">difficulty with the maximum penalty raises </w:t>
      </w:r>
      <w:r w:rsidR="00780158" w:rsidRPr="003D632A">
        <w:rPr>
          <w:rFonts w:ascii="Lato" w:hAnsi="Lato"/>
          <w:sz w:val="22"/>
          <w:szCs w:val="22"/>
        </w:rPr>
        <w:t xml:space="preserve">a concern as </w:t>
      </w:r>
      <w:r w:rsidRPr="003D632A">
        <w:rPr>
          <w:rFonts w:ascii="Lato" w:hAnsi="Lato"/>
          <w:sz w:val="22"/>
          <w:szCs w:val="22"/>
        </w:rPr>
        <w:t xml:space="preserve">to whether Mr Secondis did plead guilty to the possess </w:t>
      </w:r>
      <w:r w:rsidR="005074FF" w:rsidRPr="003D632A">
        <w:rPr>
          <w:rFonts w:ascii="Lato" w:hAnsi="Lato"/>
          <w:sz w:val="22"/>
          <w:szCs w:val="22"/>
        </w:rPr>
        <w:t>trafficable</w:t>
      </w:r>
      <w:r w:rsidRPr="003D632A">
        <w:rPr>
          <w:rFonts w:ascii="Lato" w:hAnsi="Lato"/>
          <w:sz w:val="22"/>
          <w:szCs w:val="22"/>
        </w:rPr>
        <w:t xml:space="preserve"> quantity of schedule one charge in a public place. This is the more serious charge compared with possess the drug simpliciter. </w:t>
      </w:r>
      <w:r w:rsidR="008F1027" w:rsidRPr="003D632A">
        <w:rPr>
          <w:rFonts w:ascii="Lato" w:hAnsi="Lato"/>
          <w:sz w:val="22"/>
          <w:szCs w:val="22"/>
        </w:rPr>
        <w:t xml:space="preserve">The Board is prepared to proceed on the basis that </w:t>
      </w:r>
      <w:r w:rsidR="00F76E50" w:rsidRPr="003D632A">
        <w:rPr>
          <w:rFonts w:ascii="Lato" w:hAnsi="Lato"/>
          <w:sz w:val="22"/>
          <w:szCs w:val="22"/>
        </w:rPr>
        <w:t xml:space="preserve">the charge to which </w:t>
      </w:r>
      <w:r w:rsidR="009D1EBC" w:rsidRPr="003D632A">
        <w:rPr>
          <w:rFonts w:ascii="Lato" w:hAnsi="Lato"/>
          <w:sz w:val="22"/>
          <w:szCs w:val="22"/>
        </w:rPr>
        <w:t>Mr Secondis</w:t>
      </w:r>
      <w:r w:rsidR="00F76E50" w:rsidRPr="003D632A">
        <w:rPr>
          <w:rFonts w:ascii="Lato" w:hAnsi="Lato"/>
          <w:sz w:val="22"/>
          <w:szCs w:val="22"/>
        </w:rPr>
        <w:t xml:space="preserve"> pleaded guilty </w:t>
      </w:r>
      <w:r w:rsidR="008F1027" w:rsidRPr="003D632A">
        <w:rPr>
          <w:rFonts w:ascii="Lato" w:hAnsi="Lato"/>
          <w:sz w:val="22"/>
          <w:szCs w:val="22"/>
        </w:rPr>
        <w:t xml:space="preserve">was possession of a </w:t>
      </w:r>
      <w:r w:rsidR="005074FF" w:rsidRPr="003D632A">
        <w:rPr>
          <w:rFonts w:ascii="Lato" w:hAnsi="Lato"/>
          <w:sz w:val="22"/>
          <w:szCs w:val="22"/>
        </w:rPr>
        <w:t>trafficable</w:t>
      </w:r>
      <w:r w:rsidR="008F1027" w:rsidRPr="003D632A">
        <w:rPr>
          <w:rFonts w:ascii="Lato" w:hAnsi="Lato"/>
          <w:sz w:val="22"/>
          <w:szCs w:val="22"/>
        </w:rPr>
        <w:t xml:space="preserve"> quantity of a schedule one drug </w:t>
      </w:r>
      <w:r w:rsidR="008F1027" w:rsidRPr="003D632A">
        <w:rPr>
          <w:rFonts w:ascii="Lato" w:hAnsi="Lato"/>
          <w:iCs/>
          <w:sz w:val="22"/>
          <w:szCs w:val="22"/>
        </w:rPr>
        <w:t>simpliciter</w:t>
      </w:r>
      <w:r w:rsidR="00240834" w:rsidRPr="003D632A">
        <w:rPr>
          <w:rFonts w:ascii="Lato" w:hAnsi="Lato"/>
          <w:iCs/>
          <w:sz w:val="22"/>
          <w:szCs w:val="22"/>
        </w:rPr>
        <w:t>,</w:t>
      </w:r>
      <w:r w:rsidR="00240834" w:rsidRPr="003D632A">
        <w:rPr>
          <w:rFonts w:ascii="Lato" w:hAnsi="Lato"/>
          <w:sz w:val="22"/>
          <w:szCs w:val="22"/>
        </w:rPr>
        <w:t xml:space="preserve"> as it was only on th</w:t>
      </w:r>
      <w:r w:rsidR="00022DA1" w:rsidRPr="003D632A">
        <w:rPr>
          <w:rFonts w:ascii="Lato" w:hAnsi="Lato"/>
          <w:sz w:val="22"/>
          <w:szCs w:val="22"/>
        </w:rPr>
        <w:t>is</w:t>
      </w:r>
      <w:r w:rsidR="00240834" w:rsidRPr="003D632A">
        <w:rPr>
          <w:rFonts w:ascii="Lato" w:hAnsi="Lato"/>
          <w:sz w:val="22"/>
          <w:szCs w:val="22"/>
        </w:rPr>
        <w:t xml:space="preserve"> basis that the </w:t>
      </w:r>
      <w:r w:rsidR="00D0329D" w:rsidRPr="003D632A">
        <w:rPr>
          <w:rFonts w:ascii="Lato" w:hAnsi="Lato"/>
          <w:sz w:val="22"/>
          <w:szCs w:val="22"/>
        </w:rPr>
        <w:t>Mr Secondis</w:t>
      </w:r>
      <w:r w:rsidR="00240834" w:rsidRPr="003D632A">
        <w:rPr>
          <w:rFonts w:ascii="Lato" w:hAnsi="Lato"/>
          <w:sz w:val="22"/>
          <w:szCs w:val="22"/>
        </w:rPr>
        <w:t xml:space="preserve"> could </w:t>
      </w:r>
      <w:r w:rsidR="009D1EBC" w:rsidRPr="003D632A">
        <w:rPr>
          <w:rFonts w:ascii="Lato" w:hAnsi="Lato"/>
          <w:sz w:val="22"/>
          <w:szCs w:val="22"/>
        </w:rPr>
        <w:t xml:space="preserve">properly </w:t>
      </w:r>
      <w:r w:rsidR="00240834" w:rsidRPr="003D632A">
        <w:rPr>
          <w:rFonts w:ascii="Lato" w:hAnsi="Lato"/>
          <w:sz w:val="22"/>
          <w:szCs w:val="22"/>
        </w:rPr>
        <w:t>be dealt with to finality in the Local Court</w:t>
      </w:r>
      <w:r w:rsidR="00D0329D" w:rsidRPr="003D632A">
        <w:rPr>
          <w:rFonts w:ascii="Lato" w:hAnsi="Lato"/>
          <w:sz w:val="22"/>
          <w:szCs w:val="22"/>
        </w:rPr>
        <w:t xml:space="preserve"> on 19 November</w:t>
      </w:r>
      <w:r w:rsidR="00C05EFA" w:rsidRPr="003D632A">
        <w:rPr>
          <w:rFonts w:ascii="Lato" w:hAnsi="Lato"/>
          <w:sz w:val="22"/>
          <w:szCs w:val="22"/>
        </w:rPr>
        <w:t xml:space="preserve"> 2021</w:t>
      </w:r>
      <w:r w:rsidR="00D0329D" w:rsidRPr="003D632A">
        <w:rPr>
          <w:rFonts w:ascii="Lato" w:hAnsi="Lato"/>
          <w:sz w:val="22"/>
          <w:szCs w:val="22"/>
        </w:rPr>
        <w:t>.</w:t>
      </w:r>
      <w:r w:rsidR="008F1027" w:rsidRPr="003D632A">
        <w:rPr>
          <w:rFonts w:ascii="Lato" w:hAnsi="Lato"/>
          <w:sz w:val="22"/>
          <w:szCs w:val="22"/>
        </w:rPr>
        <w:t xml:space="preserve"> Th</w:t>
      </w:r>
      <w:r w:rsidR="00D0329D" w:rsidRPr="003D632A">
        <w:rPr>
          <w:rFonts w:ascii="Lato" w:hAnsi="Lato"/>
          <w:sz w:val="22"/>
          <w:szCs w:val="22"/>
        </w:rPr>
        <w:t>is offence</w:t>
      </w:r>
      <w:r w:rsidR="008F1027" w:rsidRPr="003D632A">
        <w:rPr>
          <w:rFonts w:ascii="Lato" w:hAnsi="Lato"/>
          <w:sz w:val="22"/>
          <w:szCs w:val="22"/>
        </w:rPr>
        <w:t xml:space="preserve"> is contained in section 7A of the </w:t>
      </w:r>
      <w:r w:rsidR="008F1027" w:rsidRPr="003D632A">
        <w:rPr>
          <w:rFonts w:ascii="Lato" w:hAnsi="Lato"/>
          <w:i/>
          <w:iCs/>
          <w:sz w:val="22"/>
          <w:szCs w:val="22"/>
        </w:rPr>
        <w:t>Misuse of Drugs Act</w:t>
      </w:r>
      <w:r w:rsidR="008F1027" w:rsidRPr="003D632A">
        <w:rPr>
          <w:rFonts w:ascii="Lato" w:hAnsi="Lato"/>
          <w:i/>
          <w:sz w:val="22"/>
          <w:szCs w:val="22"/>
        </w:rPr>
        <w:t xml:space="preserve"> </w:t>
      </w:r>
      <w:r w:rsidR="005B7D11" w:rsidRPr="003D632A">
        <w:rPr>
          <w:rFonts w:ascii="Lato" w:hAnsi="Lato"/>
          <w:i/>
          <w:sz w:val="22"/>
          <w:szCs w:val="22"/>
        </w:rPr>
        <w:t>1990</w:t>
      </w:r>
      <w:r w:rsidR="005B7D11" w:rsidRPr="003D632A">
        <w:rPr>
          <w:rFonts w:ascii="Lato" w:hAnsi="Lato"/>
          <w:sz w:val="22"/>
          <w:szCs w:val="22"/>
        </w:rPr>
        <w:t xml:space="preserve"> </w:t>
      </w:r>
      <w:r w:rsidR="008F1027" w:rsidRPr="003D632A">
        <w:rPr>
          <w:rFonts w:ascii="Lato" w:hAnsi="Lato"/>
          <w:sz w:val="22"/>
          <w:szCs w:val="22"/>
        </w:rPr>
        <w:t>and contains a maximum penalty of 7 years</w:t>
      </w:r>
      <w:r w:rsidR="00C05EFA" w:rsidRPr="003D632A">
        <w:rPr>
          <w:rFonts w:ascii="Lato" w:hAnsi="Lato"/>
          <w:sz w:val="22"/>
          <w:szCs w:val="22"/>
        </w:rPr>
        <w:t xml:space="preserve"> imprisonment</w:t>
      </w:r>
      <w:r w:rsidR="008F1027" w:rsidRPr="003D632A">
        <w:rPr>
          <w:rFonts w:ascii="Lato" w:hAnsi="Lato"/>
          <w:sz w:val="22"/>
          <w:szCs w:val="22"/>
        </w:rPr>
        <w:t xml:space="preserve">. </w:t>
      </w:r>
      <w:r w:rsidR="00240834" w:rsidRPr="003D632A">
        <w:rPr>
          <w:rFonts w:ascii="Lato" w:hAnsi="Lato"/>
          <w:sz w:val="22"/>
          <w:szCs w:val="22"/>
        </w:rPr>
        <w:t>It was not in issue that</w:t>
      </w:r>
      <w:r w:rsidR="00C05EFA" w:rsidRPr="003D632A">
        <w:rPr>
          <w:rFonts w:ascii="Lato" w:hAnsi="Lato"/>
          <w:sz w:val="22"/>
          <w:szCs w:val="22"/>
        </w:rPr>
        <w:t xml:space="preserve"> </w:t>
      </w:r>
      <w:r w:rsidR="00240834" w:rsidRPr="003D632A">
        <w:rPr>
          <w:rFonts w:ascii="Lato" w:hAnsi="Lato"/>
          <w:sz w:val="22"/>
          <w:szCs w:val="22"/>
        </w:rPr>
        <w:t xml:space="preserve">cocaine is a schedule one dangerous drug and that the </w:t>
      </w:r>
      <w:r w:rsidR="005074FF" w:rsidRPr="003D632A">
        <w:rPr>
          <w:rFonts w:ascii="Lato" w:hAnsi="Lato"/>
          <w:sz w:val="22"/>
          <w:szCs w:val="22"/>
        </w:rPr>
        <w:t>trafficable</w:t>
      </w:r>
      <w:r w:rsidR="00240834" w:rsidRPr="003D632A">
        <w:rPr>
          <w:rFonts w:ascii="Lato" w:hAnsi="Lato"/>
          <w:sz w:val="22"/>
          <w:szCs w:val="22"/>
        </w:rPr>
        <w:t xml:space="preserve"> quantity for that drug is 2 grams</w:t>
      </w:r>
      <w:r w:rsidR="00022DA1" w:rsidRPr="003D632A">
        <w:rPr>
          <w:rFonts w:ascii="Lato" w:hAnsi="Lato"/>
          <w:sz w:val="22"/>
          <w:szCs w:val="22"/>
        </w:rPr>
        <w:t xml:space="preserve"> and the commercial quantity 40 grams.</w:t>
      </w:r>
    </w:p>
    <w:p w14:paraId="7B82696A" w14:textId="2F5CB2CD" w:rsidR="0029308E" w:rsidRPr="003D632A" w:rsidRDefault="0029308E" w:rsidP="0029308E">
      <w:pPr>
        <w:jc w:val="both"/>
        <w:rPr>
          <w:rFonts w:ascii="Lato" w:hAnsi="Lato"/>
          <w:iCs/>
          <w:sz w:val="22"/>
          <w:szCs w:val="22"/>
        </w:rPr>
      </w:pPr>
    </w:p>
    <w:p w14:paraId="7EE2E504" w14:textId="5EC8D5F7" w:rsidR="0029308E" w:rsidRPr="00B34105" w:rsidRDefault="0029308E" w:rsidP="00B34105">
      <w:pPr>
        <w:jc w:val="both"/>
        <w:rPr>
          <w:rFonts w:ascii="Lato" w:hAnsi="Lato"/>
          <w:b/>
          <w:bCs/>
          <w:iCs/>
          <w:sz w:val="22"/>
          <w:szCs w:val="22"/>
        </w:rPr>
      </w:pPr>
    </w:p>
    <w:p w14:paraId="39D623F6" w14:textId="4D97E018" w:rsidR="00022DA1" w:rsidRPr="00B34105" w:rsidRDefault="0029308E" w:rsidP="00B34105">
      <w:pPr>
        <w:jc w:val="both"/>
        <w:rPr>
          <w:rFonts w:ascii="Lato" w:hAnsi="Lato"/>
          <w:b/>
          <w:bCs/>
          <w:iCs/>
          <w:sz w:val="22"/>
          <w:szCs w:val="22"/>
        </w:rPr>
      </w:pPr>
      <w:r w:rsidRPr="00B34105">
        <w:rPr>
          <w:rFonts w:ascii="Lato" w:hAnsi="Lato"/>
          <w:b/>
          <w:bCs/>
          <w:iCs/>
          <w:sz w:val="22"/>
          <w:szCs w:val="22"/>
        </w:rPr>
        <w:t xml:space="preserve">Two further aspects of the </w:t>
      </w:r>
      <w:r w:rsidRPr="00B34105">
        <w:rPr>
          <w:rFonts w:ascii="Lato" w:hAnsi="Lato"/>
          <w:b/>
          <w:bCs/>
          <w:i/>
          <w:iCs/>
          <w:sz w:val="22"/>
          <w:szCs w:val="22"/>
        </w:rPr>
        <w:t>Misuse of Drugs Act</w:t>
      </w:r>
      <w:r w:rsidR="00B34105" w:rsidRPr="00B34105">
        <w:rPr>
          <w:rFonts w:ascii="Lato" w:hAnsi="Lato"/>
          <w:b/>
          <w:bCs/>
          <w:i/>
          <w:iCs/>
          <w:sz w:val="22"/>
          <w:szCs w:val="22"/>
        </w:rPr>
        <w:t xml:space="preserve"> 1990</w:t>
      </w:r>
    </w:p>
    <w:p w14:paraId="3FE80820" w14:textId="77777777" w:rsidR="0029308E" w:rsidRPr="003D632A" w:rsidRDefault="0029308E" w:rsidP="00022DA1">
      <w:pPr>
        <w:pStyle w:val="ListParagraph"/>
        <w:jc w:val="both"/>
        <w:rPr>
          <w:rFonts w:ascii="Lato" w:hAnsi="Lato"/>
          <w:iCs/>
          <w:sz w:val="22"/>
          <w:szCs w:val="22"/>
        </w:rPr>
      </w:pPr>
    </w:p>
    <w:p w14:paraId="67F065CA" w14:textId="7E5B1437" w:rsidR="00240834" w:rsidRPr="003D632A" w:rsidRDefault="00240834" w:rsidP="008F1027">
      <w:pPr>
        <w:pStyle w:val="ListParagraph"/>
        <w:numPr>
          <w:ilvl w:val="0"/>
          <w:numId w:val="1"/>
        </w:numPr>
        <w:jc w:val="both"/>
        <w:rPr>
          <w:rFonts w:ascii="Lato" w:hAnsi="Lato"/>
          <w:iCs/>
          <w:sz w:val="22"/>
          <w:szCs w:val="22"/>
        </w:rPr>
      </w:pPr>
      <w:r w:rsidRPr="003D632A">
        <w:rPr>
          <w:rFonts w:ascii="Lato" w:hAnsi="Lato"/>
          <w:sz w:val="22"/>
          <w:szCs w:val="22"/>
        </w:rPr>
        <w:t>The</w:t>
      </w:r>
      <w:r w:rsidR="00022DA1" w:rsidRPr="003D632A">
        <w:rPr>
          <w:rFonts w:ascii="Lato" w:hAnsi="Lato"/>
          <w:sz w:val="22"/>
          <w:szCs w:val="22"/>
        </w:rPr>
        <w:t>re are two further aspect</w:t>
      </w:r>
      <w:r w:rsidR="009642E9" w:rsidRPr="003D632A">
        <w:rPr>
          <w:rFonts w:ascii="Lato" w:hAnsi="Lato"/>
          <w:sz w:val="22"/>
          <w:szCs w:val="22"/>
        </w:rPr>
        <w:t xml:space="preserve">s </w:t>
      </w:r>
      <w:r w:rsidR="00022DA1" w:rsidRPr="003D632A">
        <w:rPr>
          <w:rFonts w:ascii="Lato" w:hAnsi="Lato"/>
          <w:sz w:val="22"/>
          <w:szCs w:val="22"/>
        </w:rPr>
        <w:t xml:space="preserve">of the </w:t>
      </w:r>
      <w:r w:rsidR="00022DA1" w:rsidRPr="003D632A">
        <w:rPr>
          <w:rFonts w:ascii="Lato" w:hAnsi="Lato"/>
          <w:i/>
          <w:iCs/>
          <w:sz w:val="22"/>
          <w:szCs w:val="22"/>
        </w:rPr>
        <w:t>Misuse of Drugs Act</w:t>
      </w:r>
      <w:r w:rsidR="00022DA1" w:rsidRPr="003D632A">
        <w:rPr>
          <w:rFonts w:ascii="Lato" w:hAnsi="Lato"/>
          <w:i/>
          <w:sz w:val="22"/>
          <w:szCs w:val="22"/>
        </w:rPr>
        <w:t xml:space="preserve"> </w:t>
      </w:r>
      <w:r w:rsidR="005B7D11" w:rsidRPr="003D632A">
        <w:rPr>
          <w:rFonts w:ascii="Lato" w:hAnsi="Lato"/>
          <w:i/>
          <w:sz w:val="22"/>
          <w:szCs w:val="22"/>
        </w:rPr>
        <w:t>1990</w:t>
      </w:r>
      <w:r w:rsidR="005B7D11" w:rsidRPr="003D632A">
        <w:rPr>
          <w:rFonts w:ascii="Lato" w:hAnsi="Lato"/>
          <w:sz w:val="22"/>
          <w:szCs w:val="22"/>
        </w:rPr>
        <w:t xml:space="preserve"> </w:t>
      </w:r>
      <w:r w:rsidR="00022DA1" w:rsidRPr="003D632A">
        <w:rPr>
          <w:rFonts w:ascii="Lato" w:hAnsi="Lato"/>
          <w:sz w:val="22"/>
          <w:szCs w:val="22"/>
        </w:rPr>
        <w:t>that are important</w:t>
      </w:r>
      <w:r w:rsidR="008F4AFC" w:rsidRPr="003D632A">
        <w:rPr>
          <w:rFonts w:ascii="Lato" w:hAnsi="Lato"/>
          <w:sz w:val="22"/>
          <w:szCs w:val="22"/>
        </w:rPr>
        <w:t xml:space="preserve">, </w:t>
      </w:r>
      <w:r w:rsidR="00D0329D" w:rsidRPr="003D632A">
        <w:rPr>
          <w:rFonts w:ascii="Lato" w:hAnsi="Lato"/>
          <w:sz w:val="22"/>
          <w:szCs w:val="22"/>
        </w:rPr>
        <w:t>both of which were discussed in Court</w:t>
      </w:r>
      <w:r w:rsidR="008F4AFC" w:rsidRPr="003D632A">
        <w:rPr>
          <w:rFonts w:ascii="Lato" w:hAnsi="Lato"/>
          <w:sz w:val="22"/>
          <w:szCs w:val="22"/>
        </w:rPr>
        <w:t xml:space="preserve">. </w:t>
      </w:r>
      <w:r w:rsidR="00022DA1" w:rsidRPr="003D632A">
        <w:rPr>
          <w:rFonts w:ascii="Lato" w:hAnsi="Lato"/>
          <w:sz w:val="22"/>
          <w:szCs w:val="22"/>
        </w:rPr>
        <w:t xml:space="preserve"> The first is that section 37 (6) contains a presumption that </w:t>
      </w:r>
      <w:r w:rsidR="00CE5A31" w:rsidRPr="003D632A">
        <w:rPr>
          <w:rFonts w:ascii="Lato" w:hAnsi="Lato"/>
          <w:sz w:val="22"/>
          <w:szCs w:val="22"/>
        </w:rPr>
        <w:t xml:space="preserve">in respect to </w:t>
      </w:r>
      <w:r w:rsidR="00022DA1" w:rsidRPr="003D632A">
        <w:rPr>
          <w:rFonts w:ascii="Lato" w:hAnsi="Lato"/>
          <w:sz w:val="22"/>
          <w:szCs w:val="22"/>
        </w:rPr>
        <w:t xml:space="preserve">certain offences, </w:t>
      </w:r>
      <w:r w:rsidR="00CE5A31" w:rsidRPr="003D632A">
        <w:rPr>
          <w:rFonts w:ascii="Lato" w:hAnsi="Lato"/>
          <w:sz w:val="22"/>
          <w:szCs w:val="22"/>
        </w:rPr>
        <w:t>(</w:t>
      </w:r>
      <w:r w:rsidR="00022DA1" w:rsidRPr="003D632A">
        <w:rPr>
          <w:rFonts w:ascii="Lato" w:hAnsi="Lato"/>
          <w:sz w:val="22"/>
          <w:szCs w:val="22"/>
        </w:rPr>
        <w:t xml:space="preserve">which include the offence </w:t>
      </w:r>
      <w:r w:rsidR="008F4AFC" w:rsidRPr="003D632A">
        <w:rPr>
          <w:rFonts w:ascii="Lato" w:hAnsi="Lato"/>
          <w:sz w:val="22"/>
          <w:szCs w:val="22"/>
        </w:rPr>
        <w:t xml:space="preserve">to which </w:t>
      </w:r>
      <w:r w:rsidR="00022DA1" w:rsidRPr="003D632A">
        <w:rPr>
          <w:rFonts w:ascii="Lato" w:hAnsi="Lato"/>
          <w:sz w:val="22"/>
          <w:szCs w:val="22"/>
        </w:rPr>
        <w:t>Mr Secondis pleaded guilty</w:t>
      </w:r>
      <w:r w:rsidR="00CE5A31" w:rsidRPr="003D632A">
        <w:rPr>
          <w:rFonts w:ascii="Lato" w:hAnsi="Lato"/>
          <w:sz w:val="22"/>
          <w:szCs w:val="22"/>
        </w:rPr>
        <w:t>)</w:t>
      </w:r>
      <w:r w:rsidR="00022DA1" w:rsidRPr="003D632A">
        <w:rPr>
          <w:rFonts w:ascii="Lato" w:hAnsi="Lato"/>
          <w:sz w:val="22"/>
          <w:szCs w:val="22"/>
        </w:rPr>
        <w:t>,</w:t>
      </w:r>
      <w:r w:rsidR="00CE5A31" w:rsidRPr="003D632A">
        <w:rPr>
          <w:rFonts w:ascii="Lato" w:hAnsi="Lato"/>
          <w:sz w:val="22"/>
          <w:szCs w:val="22"/>
        </w:rPr>
        <w:t xml:space="preserve"> the</w:t>
      </w:r>
      <w:r w:rsidR="008A3E66" w:rsidRPr="003D632A">
        <w:rPr>
          <w:rFonts w:ascii="Lato" w:hAnsi="Lato"/>
          <w:sz w:val="22"/>
          <w:szCs w:val="22"/>
        </w:rPr>
        <w:t xml:space="preserve"> offender is presumed</w:t>
      </w:r>
      <w:r w:rsidR="00CE5A31" w:rsidRPr="003D632A">
        <w:rPr>
          <w:rFonts w:ascii="Lato" w:hAnsi="Lato"/>
          <w:sz w:val="22"/>
          <w:szCs w:val="22"/>
        </w:rPr>
        <w:t xml:space="preserve"> to supply the dangerous drug.  </w:t>
      </w:r>
      <w:r w:rsidR="008A3E66" w:rsidRPr="003D632A">
        <w:rPr>
          <w:rFonts w:ascii="Lato" w:hAnsi="Lato"/>
          <w:sz w:val="22"/>
          <w:szCs w:val="22"/>
        </w:rPr>
        <w:t>C</w:t>
      </w:r>
      <w:r w:rsidR="00CE5A31" w:rsidRPr="003D632A">
        <w:rPr>
          <w:rFonts w:ascii="Lato" w:hAnsi="Lato"/>
          <w:sz w:val="22"/>
          <w:szCs w:val="22"/>
        </w:rPr>
        <w:t>ounsel for Mr Secondis in th</w:t>
      </w:r>
      <w:r w:rsidR="008A3E66" w:rsidRPr="003D632A">
        <w:rPr>
          <w:rFonts w:ascii="Lato" w:hAnsi="Lato"/>
          <w:sz w:val="22"/>
          <w:szCs w:val="22"/>
        </w:rPr>
        <w:t xml:space="preserve">e sentencing </w:t>
      </w:r>
      <w:r w:rsidR="00CE5A31" w:rsidRPr="003D632A">
        <w:rPr>
          <w:rFonts w:ascii="Lato" w:hAnsi="Lato"/>
          <w:sz w:val="22"/>
          <w:szCs w:val="22"/>
        </w:rPr>
        <w:t xml:space="preserve">proceedings (Mr Peter Maley) conceded that the presumption was not rebutted </w:t>
      </w:r>
      <w:r w:rsidR="00CE5A31" w:rsidRPr="003D632A">
        <w:rPr>
          <w:rStyle w:val="FootnoteReference"/>
          <w:rFonts w:ascii="Lato" w:hAnsi="Lato"/>
          <w:sz w:val="22"/>
          <w:szCs w:val="22"/>
        </w:rPr>
        <w:footnoteReference w:id="5"/>
      </w:r>
      <w:r w:rsidR="00CE5A31" w:rsidRPr="003D632A">
        <w:rPr>
          <w:rFonts w:ascii="Lato" w:hAnsi="Lato"/>
          <w:sz w:val="22"/>
          <w:szCs w:val="22"/>
        </w:rPr>
        <w:t>, but</w:t>
      </w:r>
      <w:r w:rsidR="008A3E66" w:rsidRPr="003D632A">
        <w:rPr>
          <w:rFonts w:ascii="Lato" w:hAnsi="Lato"/>
          <w:sz w:val="22"/>
          <w:szCs w:val="22"/>
        </w:rPr>
        <w:t xml:space="preserve"> submitted </w:t>
      </w:r>
      <w:r w:rsidR="00CE5A31" w:rsidRPr="003D632A">
        <w:rPr>
          <w:rFonts w:ascii="Lato" w:hAnsi="Lato"/>
          <w:sz w:val="22"/>
          <w:szCs w:val="22"/>
        </w:rPr>
        <w:t>that the supply was to share with friends and</w:t>
      </w:r>
      <w:r w:rsidR="008A3E66" w:rsidRPr="003D632A">
        <w:rPr>
          <w:rFonts w:ascii="Lato" w:hAnsi="Lato"/>
          <w:sz w:val="22"/>
          <w:szCs w:val="22"/>
        </w:rPr>
        <w:t xml:space="preserve">, as such, did not contain </w:t>
      </w:r>
      <w:r w:rsidR="00CE5A31" w:rsidRPr="003D632A">
        <w:rPr>
          <w:rFonts w:ascii="Lato" w:hAnsi="Lato"/>
          <w:sz w:val="22"/>
          <w:szCs w:val="22"/>
        </w:rPr>
        <w:t>any “commercial overtones”.</w:t>
      </w:r>
      <w:r w:rsidR="00CE5A31" w:rsidRPr="003D632A">
        <w:rPr>
          <w:rStyle w:val="FootnoteReference"/>
          <w:rFonts w:ascii="Lato" w:hAnsi="Lato"/>
          <w:sz w:val="22"/>
          <w:szCs w:val="22"/>
        </w:rPr>
        <w:footnoteReference w:id="6"/>
      </w:r>
    </w:p>
    <w:p w14:paraId="4DEDF6A5" w14:textId="77777777" w:rsidR="00CE5A31" w:rsidRPr="003D632A" w:rsidRDefault="00CE5A31" w:rsidP="00CE5A31">
      <w:pPr>
        <w:pStyle w:val="ListParagraph"/>
        <w:rPr>
          <w:rFonts w:ascii="Lato" w:hAnsi="Lato"/>
          <w:iCs/>
          <w:sz w:val="22"/>
          <w:szCs w:val="22"/>
        </w:rPr>
      </w:pPr>
    </w:p>
    <w:p w14:paraId="497FFBDC" w14:textId="05710B56" w:rsidR="00CE5A31" w:rsidRPr="003D632A" w:rsidRDefault="00CE5A31" w:rsidP="00CE5A31">
      <w:pPr>
        <w:pStyle w:val="ListParagraph"/>
        <w:numPr>
          <w:ilvl w:val="0"/>
          <w:numId w:val="1"/>
        </w:numPr>
        <w:jc w:val="both"/>
        <w:rPr>
          <w:rFonts w:ascii="Lato" w:hAnsi="Lato"/>
          <w:sz w:val="22"/>
          <w:szCs w:val="22"/>
        </w:rPr>
      </w:pPr>
      <w:r w:rsidRPr="003D632A">
        <w:rPr>
          <w:rFonts w:ascii="Lato" w:hAnsi="Lato"/>
          <w:sz w:val="22"/>
          <w:szCs w:val="22"/>
        </w:rPr>
        <w:t xml:space="preserve">The second matter </w:t>
      </w:r>
      <w:r w:rsidR="008A3E66" w:rsidRPr="003D632A">
        <w:rPr>
          <w:rFonts w:ascii="Lato" w:hAnsi="Lato"/>
          <w:sz w:val="22"/>
          <w:szCs w:val="22"/>
        </w:rPr>
        <w:t>was</w:t>
      </w:r>
      <w:r w:rsidR="008F4AFC" w:rsidRPr="003D632A">
        <w:rPr>
          <w:rFonts w:ascii="Lato" w:hAnsi="Lato"/>
          <w:sz w:val="22"/>
          <w:szCs w:val="22"/>
        </w:rPr>
        <w:t xml:space="preserve"> section 37 (2) the</w:t>
      </w:r>
      <w:r w:rsidR="005B7D11" w:rsidRPr="003D632A">
        <w:rPr>
          <w:rFonts w:ascii="Lato" w:hAnsi="Lato"/>
          <w:i/>
          <w:iCs/>
          <w:sz w:val="22"/>
          <w:szCs w:val="22"/>
        </w:rPr>
        <w:t xml:space="preserve"> Misuse of Drugs Act</w:t>
      </w:r>
      <w:r w:rsidR="005B7D11" w:rsidRPr="003D632A">
        <w:rPr>
          <w:rFonts w:ascii="Lato" w:hAnsi="Lato"/>
          <w:i/>
          <w:sz w:val="22"/>
          <w:szCs w:val="22"/>
        </w:rPr>
        <w:t xml:space="preserve"> 1990</w:t>
      </w:r>
      <w:r w:rsidR="008A3E66" w:rsidRPr="003D632A">
        <w:rPr>
          <w:rFonts w:ascii="Lato" w:hAnsi="Lato"/>
          <w:sz w:val="22"/>
          <w:szCs w:val="22"/>
        </w:rPr>
        <w:t xml:space="preserve">,which applied to </w:t>
      </w:r>
      <w:r w:rsidR="008F4AFC" w:rsidRPr="003D632A">
        <w:rPr>
          <w:rFonts w:ascii="Lato" w:hAnsi="Lato"/>
          <w:sz w:val="22"/>
          <w:szCs w:val="22"/>
        </w:rPr>
        <w:t>an offence including the one to which Mr Secondis pleaded guilty</w:t>
      </w:r>
      <w:r w:rsidR="008A3E66" w:rsidRPr="003D632A">
        <w:rPr>
          <w:rFonts w:ascii="Lato" w:hAnsi="Lato"/>
          <w:sz w:val="22"/>
          <w:szCs w:val="22"/>
        </w:rPr>
        <w:t>. This stated that</w:t>
      </w:r>
      <w:r w:rsidR="008F4AFC" w:rsidRPr="003D632A">
        <w:rPr>
          <w:rFonts w:ascii="Lato" w:hAnsi="Lato"/>
          <w:sz w:val="22"/>
          <w:szCs w:val="22"/>
        </w:rPr>
        <w:t xml:space="preserve"> the Court shall impose a sentence of actual imprisonment unless having regard to the circumstances of the offender or the offence, such a penalty should not be imposed. If a term of actual imprisonment was imposed, section 37 (3) required it to be no less than 28 days.</w:t>
      </w:r>
    </w:p>
    <w:p w14:paraId="37E6A6EE" w14:textId="1698B39F" w:rsidR="008F4AFC" w:rsidRPr="003D632A" w:rsidRDefault="008F4AFC" w:rsidP="008F4AFC">
      <w:pPr>
        <w:pStyle w:val="ListParagraph"/>
        <w:rPr>
          <w:rFonts w:ascii="Lato" w:hAnsi="Lato"/>
          <w:sz w:val="22"/>
          <w:szCs w:val="22"/>
        </w:rPr>
      </w:pPr>
    </w:p>
    <w:p w14:paraId="7B2F9D12" w14:textId="6CA9B239" w:rsidR="0029308E" w:rsidRPr="003D632A" w:rsidRDefault="0029308E" w:rsidP="008F4AFC">
      <w:pPr>
        <w:pStyle w:val="ListParagraph"/>
        <w:rPr>
          <w:rFonts w:ascii="Lato" w:hAnsi="Lato"/>
          <w:sz w:val="22"/>
          <w:szCs w:val="22"/>
        </w:rPr>
      </w:pPr>
    </w:p>
    <w:p w14:paraId="45272A1F" w14:textId="21427F94" w:rsidR="0029308E" w:rsidRPr="00B34105" w:rsidRDefault="00CC4F22" w:rsidP="00B34105">
      <w:pPr>
        <w:rPr>
          <w:rFonts w:ascii="Lato" w:hAnsi="Lato"/>
          <w:b/>
          <w:bCs/>
          <w:i/>
          <w:iCs/>
          <w:sz w:val="22"/>
          <w:szCs w:val="22"/>
        </w:rPr>
      </w:pPr>
      <w:r w:rsidRPr="00B34105">
        <w:rPr>
          <w:rFonts w:ascii="Lato" w:hAnsi="Lato"/>
          <w:b/>
          <w:bCs/>
          <w:i/>
          <w:iCs/>
          <w:sz w:val="22"/>
          <w:szCs w:val="22"/>
        </w:rPr>
        <w:t xml:space="preserve">Analysis of the Facts </w:t>
      </w:r>
      <w:r w:rsidR="00B162B1" w:rsidRPr="00B34105">
        <w:rPr>
          <w:rFonts w:ascii="Lato" w:hAnsi="Lato"/>
          <w:b/>
          <w:bCs/>
          <w:i/>
          <w:iCs/>
          <w:sz w:val="22"/>
          <w:szCs w:val="22"/>
        </w:rPr>
        <w:t xml:space="preserve">re the Question of </w:t>
      </w:r>
      <w:r w:rsidRPr="00B34105">
        <w:rPr>
          <w:rFonts w:ascii="Lato" w:hAnsi="Lato"/>
          <w:b/>
          <w:bCs/>
          <w:i/>
          <w:iCs/>
          <w:sz w:val="22"/>
          <w:szCs w:val="22"/>
        </w:rPr>
        <w:t>Triviality</w:t>
      </w:r>
    </w:p>
    <w:p w14:paraId="198BCEE4" w14:textId="77777777" w:rsidR="0029308E" w:rsidRPr="003D632A" w:rsidRDefault="0029308E" w:rsidP="008F4AFC">
      <w:pPr>
        <w:pStyle w:val="ListParagraph"/>
        <w:rPr>
          <w:rFonts w:ascii="Lato" w:hAnsi="Lato"/>
          <w:sz w:val="22"/>
          <w:szCs w:val="22"/>
        </w:rPr>
      </w:pPr>
    </w:p>
    <w:p w14:paraId="4D7FB8F0" w14:textId="7FCAF675" w:rsidR="008F4AFC" w:rsidRPr="003D632A" w:rsidRDefault="008F4AFC" w:rsidP="00CE5A31">
      <w:pPr>
        <w:pStyle w:val="ListParagraph"/>
        <w:numPr>
          <w:ilvl w:val="0"/>
          <w:numId w:val="1"/>
        </w:numPr>
        <w:jc w:val="both"/>
        <w:rPr>
          <w:rFonts w:ascii="Lato" w:hAnsi="Lato"/>
          <w:sz w:val="22"/>
          <w:szCs w:val="22"/>
        </w:rPr>
      </w:pPr>
      <w:r w:rsidRPr="003D632A">
        <w:rPr>
          <w:rFonts w:ascii="Lato" w:hAnsi="Lato"/>
          <w:sz w:val="22"/>
          <w:szCs w:val="22"/>
        </w:rPr>
        <w:t xml:space="preserve">The </w:t>
      </w:r>
      <w:r w:rsidR="008A3E66" w:rsidRPr="003D632A">
        <w:rPr>
          <w:rFonts w:ascii="Lato" w:hAnsi="Lato"/>
          <w:sz w:val="22"/>
          <w:szCs w:val="22"/>
        </w:rPr>
        <w:t xml:space="preserve">Agreed Facts </w:t>
      </w:r>
      <w:r w:rsidR="00EB44C2" w:rsidRPr="003D632A">
        <w:rPr>
          <w:rFonts w:ascii="Lato" w:hAnsi="Lato"/>
          <w:sz w:val="22"/>
          <w:szCs w:val="22"/>
        </w:rPr>
        <w:t xml:space="preserve">for the criminal proceedings </w:t>
      </w:r>
      <w:r w:rsidR="008A3E66" w:rsidRPr="003D632A">
        <w:rPr>
          <w:rFonts w:ascii="Lato" w:hAnsi="Lato"/>
          <w:sz w:val="22"/>
          <w:szCs w:val="22"/>
        </w:rPr>
        <w:t>are of central relevance to the contention</w:t>
      </w:r>
      <w:r w:rsidR="00052FB0" w:rsidRPr="003D632A">
        <w:rPr>
          <w:rFonts w:ascii="Lato" w:hAnsi="Lato"/>
          <w:sz w:val="22"/>
          <w:szCs w:val="22"/>
        </w:rPr>
        <w:t xml:space="preserve"> that</w:t>
      </w:r>
      <w:r w:rsidR="008A3E66" w:rsidRPr="003D632A">
        <w:rPr>
          <w:rFonts w:ascii="Lato" w:hAnsi="Lato"/>
          <w:sz w:val="22"/>
          <w:szCs w:val="22"/>
        </w:rPr>
        <w:t xml:space="preserve"> the offending conduct </w:t>
      </w:r>
      <w:r w:rsidR="00E17EC4" w:rsidRPr="003D632A">
        <w:rPr>
          <w:rFonts w:ascii="Lato" w:hAnsi="Lato"/>
          <w:sz w:val="22"/>
          <w:szCs w:val="22"/>
        </w:rPr>
        <w:t xml:space="preserve">was </w:t>
      </w:r>
      <w:r w:rsidR="008A3E66" w:rsidRPr="003D632A">
        <w:rPr>
          <w:rFonts w:ascii="Lato" w:hAnsi="Lato"/>
          <w:sz w:val="22"/>
          <w:szCs w:val="22"/>
        </w:rPr>
        <w:t>trivial. They disclosed that the</w:t>
      </w:r>
      <w:r w:rsidR="00D0329D" w:rsidRPr="003D632A">
        <w:rPr>
          <w:rFonts w:ascii="Lato" w:hAnsi="Lato"/>
          <w:sz w:val="22"/>
          <w:szCs w:val="22"/>
        </w:rPr>
        <w:t xml:space="preserve"> offence was constituted by repeated offending</w:t>
      </w:r>
      <w:r w:rsidR="008A3E66" w:rsidRPr="003D632A">
        <w:rPr>
          <w:rFonts w:ascii="Lato" w:hAnsi="Lato"/>
          <w:sz w:val="22"/>
          <w:szCs w:val="22"/>
        </w:rPr>
        <w:t xml:space="preserve"> conduct over a period that encompassed </w:t>
      </w:r>
      <w:r w:rsidR="00E17EC4" w:rsidRPr="003D632A">
        <w:rPr>
          <w:rFonts w:ascii="Lato" w:hAnsi="Lato"/>
          <w:sz w:val="22"/>
          <w:szCs w:val="22"/>
        </w:rPr>
        <w:t xml:space="preserve">a little over </w:t>
      </w:r>
      <w:r w:rsidR="008A3E66" w:rsidRPr="003D632A">
        <w:rPr>
          <w:rFonts w:ascii="Lato" w:hAnsi="Lato"/>
          <w:sz w:val="22"/>
          <w:szCs w:val="22"/>
        </w:rPr>
        <w:t>4 months (13 March 2021- to 22 July 2021)</w:t>
      </w:r>
      <w:r w:rsidR="007E6F19" w:rsidRPr="003D632A">
        <w:rPr>
          <w:rFonts w:ascii="Lato" w:hAnsi="Lato"/>
          <w:sz w:val="22"/>
          <w:szCs w:val="22"/>
        </w:rPr>
        <w:t xml:space="preserve">, </w:t>
      </w:r>
      <w:r w:rsidR="00D0329D" w:rsidRPr="003D632A">
        <w:rPr>
          <w:rFonts w:ascii="Lato" w:hAnsi="Lato"/>
          <w:sz w:val="22"/>
          <w:szCs w:val="22"/>
        </w:rPr>
        <w:t xml:space="preserve">resulting in </w:t>
      </w:r>
      <w:r w:rsidR="008A3E66" w:rsidRPr="003D632A">
        <w:rPr>
          <w:rFonts w:ascii="Lato" w:hAnsi="Lato"/>
          <w:sz w:val="22"/>
          <w:szCs w:val="22"/>
        </w:rPr>
        <w:t>Mr Secondis purcha</w:t>
      </w:r>
      <w:r w:rsidR="00E17EC4" w:rsidRPr="003D632A">
        <w:rPr>
          <w:rFonts w:ascii="Lato" w:hAnsi="Lato"/>
          <w:sz w:val="22"/>
          <w:szCs w:val="22"/>
        </w:rPr>
        <w:t>sing</w:t>
      </w:r>
      <w:r w:rsidR="008A3E66" w:rsidRPr="003D632A">
        <w:rPr>
          <w:rFonts w:ascii="Lato" w:hAnsi="Lato"/>
          <w:sz w:val="22"/>
          <w:szCs w:val="22"/>
        </w:rPr>
        <w:t xml:space="preserve"> cocaine in </w:t>
      </w:r>
      <w:r w:rsidR="000E4F9B" w:rsidRPr="003D632A">
        <w:rPr>
          <w:rFonts w:ascii="Lato" w:hAnsi="Lato"/>
          <w:sz w:val="22"/>
          <w:szCs w:val="22"/>
        </w:rPr>
        <w:t xml:space="preserve">quantities that added up to not less than 38 grams. This was just under the commercial quantity for cocaine (40 grams). Text messages obtained from the person from whom those drugs were obtained (Owens) indicated that Mr Secondis had sourced cocaine on behalf of others and supplied cocaine to others. The precise numbers </w:t>
      </w:r>
      <w:r w:rsidR="00E17EC4" w:rsidRPr="003D632A">
        <w:rPr>
          <w:rFonts w:ascii="Lato" w:hAnsi="Lato"/>
          <w:sz w:val="22"/>
          <w:szCs w:val="22"/>
        </w:rPr>
        <w:t xml:space="preserve">of persons supplied </w:t>
      </w:r>
      <w:r w:rsidR="000E4F9B" w:rsidRPr="003D632A">
        <w:rPr>
          <w:rFonts w:ascii="Lato" w:hAnsi="Lato"/>
          <w:sz w:val="22"/>
          <w:szCs w:val="22"/>
        </w:rPr>
        <w:t xml:space="preserve">was not stated. </w:t>
      </w:r>
      <w:r w:rsidR="00A16840" w:rsidRPr="003D632A">
        <w:rPr>
          <w:rFonts w:ascii="Lato" w:hAnsi="Lato"/>
          <w:sz w:val="22"/>
          <w:szCs w:val="22"/>
        </w:rPr>
        <w:t xml:space="preserve">Mr Secondis was not found at the time of arrest in possession of cocaine. The total amount was extrapolated from Owens’s mobile phone which contained references to the amounts supplied and dates. </w:t>
      </w:r>
      <w:r w:rsidR="00D0329D" w:rsidRPr="003D632A">
        <w:rPr>
          <w:rFonts w:ascii="Lato" w:hAnsi="Lato"/>
          <w:sz w:val="22"/>
          <w:szCs w:val="22"/>
        </w:rPr>
        <w:t>Th</w:t>
      </w:r>
      <w:r w:rsidR="005074FF">
        <w:rPr>
          <w:rFonts w:ascii="Lato" w:hAnsi="Lato"/>
          <w:sz w:val="22"/>
          <w:szCs w:val="22"/>
        </w:rPr>
        <w:t>e Court heard from Mr Secondis’</w:t>
      </w:r>
      <w:r w:rsidR="00D0329D" w:rsidRPr="003D632A">
        <w:rPr>
          <w:rFonts w:ascii="Lato" w:hAnsi="Lato"/>
          <w:sz w:val="22"/>
          <w:szCs w:val="22"/>
        </w:rPr>
        <w:t xml:space="preserve"> counsel that it</w:t>
      </w:r>
      <w:r w:rsidR="00A16840" w:rsidRPr="003D632A">
        <w:rPr>
          <w:rFonts w:ascii="Lato" w:hAnsi="Lato"/>
          <w:sz w:val="22"/>
          <w:szCs w:val="22"/>
        </w:rPr>
        <w:t xml:space="preserve"> is not unusual for, on a plea of guilty, for the individual amounts to be part of a single charge.</w:t>
      </w:r>
      <w:r w:rsidR="00A16840" w:rsidRPr="003D632A">
        <w:rPr>
          <w:rStyle w:val="FootnoteReference"/>
          <w:rFonts w:ascii="Lato" w:hAnsi="Lato"/>
          <w:sz w:val="22"/>
          <w:szCs w:val="22"/>
        </w:rPr>
        <w:footnoteReference w:id="7"/>
      </w:r>
    </w:p>
    <w:p w14:paraId="06811181" w14:textId="77777777" w:rsidR="000E4F9B" w:rsidRPr="003D632A" w:rsidRDefault="000E4F9B" w:rsidP="000E4F9B">
      <w:pPr>
        <w:pStyle w:val="ListParagraph"/>
        <w:rPr>
          <w:rFonts w:ascii="Lato" w:hAnsi="Lato"/>
          <w:sz w:val="22"/>
          <w:szCs w:val="22"/>
        </w:rPr>
      </w:pPr>
    </w:p>
    <w:p w14:paraId="6B6DDC2B" w14:textId="58966FAD" w:rsidR="000744D1" w:rsidRPr="003D632A" w:rsidRDefault="00EB44C2" w:rsidP="00CE5A31">
      <w:pPr>
        <w:pStyle w:val="ListParagraph"/>
        <w:numPr>
          <w:ilvl w:val="0"/>
          <w:numId w:val="1"/>
        </w:numPr>
        <w:jc w:val="both"/>
        <w:rPr>
          <w:rFonts w:ascii="Lato" w:hAnsi="Lato"/>
          <w:sz w:val="22"/>
          <w:szCs w:val="22"/>
        </w:rPr>
      </w:pPr>
      <w:r w:rsidRPr="003D632A">
        <w:rPr>
          <w:rFonts w:ascii="Lato" w:hAnsi="Lato"/>
          <w:sz w:val="22"/>
          <w:szCs w:val="22"/>
        </w:rPr>
        <w:t>Arguably, possible m</w:t>
      </w:r>
      <w:r w:rsidR="00A16840" w:rsidRPr="003D632A">
        <w:rPr>
          <w:rFonts w:ascii="Lato" w:hAnsi="Lato"/>
          <w:sz w:val="22"/>
          <w:szCs w:val="22"/>
        </w:rPr>
        <w:t xml:space="preserve">atters relevant to the </w:t>
      </w:r>
      <w:r w:rsidR="00D0329D" w:rsidRPr="003D632A">
        <w:rPr>
          <w:rFonts w:ascii="Lato" w:hAnsi="Lato"/>
          <w:sz w:val="22"/>
          <w:szCs w:val="22"/>
        </w:rPr>
        <w:t xml:space="preserve">submission as to </w:t>
      </w:r>
      <w:r w:rsidR="00A16840" w:rsidRPr="003D632A">
        <w:rPr>
          <w:rFonts w:ascii="Lato" w:hAnsi="Lato"/>
          <w:sz w:val="22"/>
          <w:szCs w:val="22"/>
        </w:rPr>
        <w:t xml:space="preserve">triviality </w:t>
      </w:r>
      <w:r w:rsidR="00D46E66" w:rsidRPr="003D632A">
        <w:rPr>
          <w:rFonts w:ascii="Lato" w:hAnsi="Lato"/>
          <w:sz w:val="22"/>
          <w:szCs w:val="22"/>
        </w:rPr>
        <w:t>included</w:t>
      </w:r>
      <w:r w:rsidR="00A16840" w:rsidRPr="003D632A">
        <w:rPr>
          <w:rFonts w:ascii="Lato" w:hAnsi="Lato"/>
          <w:sz w:val="22"/>
          <w:szCs w:val="22"/>
        </w:rPr>
        <w:t xml:space="preserve"> the nature of the </w:t>
      </w:r>
      <w:r w:rsidR="000744D1" w:rsidRPr="003D632A">
        <w:rPr>
          <w:rFonts w:ascii="Lato" w:hAnsi="Lato"/>
          <w:sz w:val="22"/>
          <w:szCs w:val="22"/>
        </w:rPr>
        <w:t xml:space="preserve">dangerous </w:t>
      </w:r>
      <w:r w:rsidR="00A16840" w:rsidRPr="003D632A">
        <w:rPr>
          <w:rFonts w:ascii="Lato" w:hAnsi="Lato"/>
          <w:sz w:val="22"/>
          <w:szCs w:val="22"/>
        </w:rPr>
        <w:t xml:space="preserve">drug, </w:t>
      </w:r>
      <w:r w:rsidR="00D46E66" w:rsidRPr="003D632A">
        <w:rPr>
          <w:rFonts w:ascii="Lato" w:hAnsi="Lato"/>
          <w:sz w:val="22"/>
          <w:szCs w:val="22"/>
        </w:rPr>
        <w:t xml:space="preserve">the quantity, whether there was any </w:t>
      </w:r>
      <w:r w:rsidR="00A16840" w:rsidRPr="003D632A">
        <w:rPr>
          <w:rFonts w:ascii="Lato" w:hAnsi="Lato"/>
          <w:sz w:val="22"/>
          <w:szCs w:val="22"/>
        </w:rPr>
        <w:t xml:space="preserve">repetition of the offending conduct, </w:t>
      </w:r>
      <w:r w:rsidR="000744D1" w:rsidRPr="003D632A">
        <w:rPr>
          <w:rFonts w:ascii="Lato" w:hAnsi="Lato"/>
          <w:sz w:val="22"/>
          <w:szCs w:val="22"/>
        </w:rPr>
        <w:t xml:space="preserve">the period of the offending conduct, the </w:t>
      </w:r>
      <w:r w:rsidR="00E17EC4" w:rsidRPr="003D632A">
        <w:rPr>
          <w:rFonts w:ascii="Lato" w:hAnsi="Lato"/>
          <w:sz w:val="22"/>
          <w:szCs w:val="22"/>
        </w:rPr>
        <w:t>nature of the</w:t>
      </w:r>
      <w:r w:rsidR="000744D1" w:rsidRPr="003D632A">
        <w:rPr>
          <w:rFonts w:ascii="Lato" w:hAnsi="Lato"/>
          <w:sz w:val="22"/>
          <w:szCs w:val="22"/>
        </w:rPr>
        <w:t xml:space="preserve"> offender</w:t>
      </w:r>
      <w:r w:rsidR="00E17EC4" w:rsidRPr="003D632A">
        <w:rPr>
          <w:rFonts w:ascii="Lato" w:hAnsi="Lato"/>
          <w:sz w:val="22"/>
          <w:szCs w:val="22"/>
        </w:rPr>
        <w:t>’s involvement</w:t>
      </w:r>
      <w:r w:rsidR="000744D1" w:rsidRPr="003D632A">
        <w:rPr>
          <w:rFonts w:ascii="Lato" w:hAnsi="Lato"/>
          <w:sz w:val="22"/>
          <w:szCs w:val="22"/>
        </w:rPr>
        <w:t xml:space="preserve">, </w:t>
      </w:r>
      <w:r w:rsidR="00A16840" w:rsidRPr="003D632A">
        <w:rPr>
          <w:rFonts w:ascii="Lato" w:hAnsi="Lato"/>
          <w:sz w:val="22"/>
          <w:szCs w:val="22"/>
        </w:rPr>
        <w:t xml:space="preserve">whether there was any further supply from the offender, </w:t>
      </w:r>
      <w:r w:rsidR="007E6F19" w:rsidRPr="003D632A">
        <w:rPr>
          <w:rFonts w:ascii="Lato" w:hAnsi="Lato"/>
          <w:sz w:val="22"/>
          <w:szCs w:val="22"/>
        </w:rPr>
        <w:t xml:space="preserve">any commercial gain, </w:t>
      </w:r>
      <w:r w:rsidR="00A16840" w:rsidRPr="003D632A">
        <w:rPr>
          <w:rFonts w:ascii="Lato" w:hAnsi="Lato"/>
          <w:sz w:val="22"/>
          <w:szCs w:val="22"/>
        </w:rPr>
        <w:t>or any sourcing of the drug on behalf of others</w:t>
      </w:r>
      <w:r w:rsidR="00E77732" w:rsidRPr="003D632A">
        <w:rPr>
          <w:rFonts w:ascii="Lato" w:hAnsi="Lato"/>
          <w:sz w:val="22"/>
          <w:szCs w:val="22"/>
        </w:rPr>
        <w:t xml:space="preserve">, and finally, </w:t>
      </w:r>
      <w:r w:rsidR="007A1ACD" w:rsidRPr="003D632A">
        <w:rPr>
          <w:rFonts w:ascii="Lato" w:hAnsi="Lato"/>
          <w:sz w:val="22"/>
          <w:szCs w:val="22"/>
        </w:rPr>
        <w:t xml:space="preserve">the result in court – in particular whether any </w:t>
      </w:r>
      <w:r w:rsidR="00C972F2" w:rsidRPr="003D632A">
        <w:rPr>
          <w:rFonts w:ascii="Lato" w:hAnsi="Lato"/>
          <w:sz w:val="22"/>
          <w:szCs w:val="22"/>
        </w:rPr>
        <w:t>non-conviction</w:t>
      </w:r>
      <w:r w:rsidR="007A1ACD" w:rsidRPr="003D632A">
        <w:rPr>
          <w:rFonts w:ascii="Lato" w:hAnsi="Lato"/>
          <w:sz w:val="22"/>
          <w:szCs w:val="22"/>
        </w:rPr>
        <w:t xml:space="preserve"> order was imposed, or alternatively, whether any term of imprisonment  was imposed and if so on what basis.</w:t>
      </w:r>
    </w:p>
    <w:p w14:paraId="70A4580D" w14:textId="77777777" w:rsidR="000744D1" w:rsidRPr="003D632A" w:rsidRDefault="000744D1" w:rsidP="000744D1">
      <w:pPr>
        <w:pStyle w:val="ListParagraph"/>
        <w:rPr>
          <w:rFonts w:ascii="Lato" w:hAnsi="Lato"/>
          <w:sz w:val="22"/>
          <w:szCs w:val="22"/>
        </w:rPr>
      </w:pPr>
    </w:p>
    <w:p w14:paraId="29CC6381" w14:textId="60B410A9" w:rsidR="0042154D" w:rsidRPr="003D632A" w:rsidRDefault="00E77732" w:rsidP="00CE5A31">
      <w:pPr>
        <w:pStyle w:val="ListParagraph"/>
        <w:numPr>
          <w:ilvl w:val="0"/>
          <w:numId w:val="1"/>
        </w:numPr>
        <w:jc w:val="both"/>
        <w:rPr>
          <w:rFonts w:ascii="Lato" w:hAnsi="Lato"/>
          <w:sz w:val="22"/>
          <w:szCs w:val="22"/>
        </w:rPr>
      </w:pPr>
      <w:r w:rsidRPr="003D632A">
        <w:rPr>
          <w:rFonts w:ascii="Lato" w:hAnsi="Lato"/>
          <w:sz w:val="22"/>
          <w:szCs w:val="22"/>
        </w:rPr>
        <w:t>C</w:t>
      </w:r>
      <w:r w:rsidR="00A16840" w:rsidRPr="003D632A">
        <w:rPr>
          <w:rFonts w:ascii="Lato" w:hAnsi="Lato"/>
          <w:sz w:val="22"/>
          <w:szCs w:val="22"/>
        </w:rPr>
        <w:t>ocaine, as a schedule one</w:t>
      </w:r>
      <w:r w:rsidR="000744D1" w:rsidRPr="003D632A">
        <w:rPr>
          <w:rFonts w:ascii="Lato" w:hAnsi="Lato"/>
          <w:sz w:val="22"/>
          <w:szCs w:val="22"/>
        </w:rPr>
        <w:t>,</w:t>
      </w:r>
      <w:r w:rsidR="00B649BF" w:rsidRPr="003D632A">
        <w:rPr>
          <w:rFonts w:ascii="Lato" w:hAnsi="Lato"/>
          <w:sz w:val="22"/>
          <w:szCs w:val="22"/>
        </w:rPr>
        <w:t xml:space="preserve"> </w:t>
      </w:r>
      <w:r w:rsidR="000744D1" w:rsidRPr="003D632A">
        <w:rPr>
          <w:rFonts w:ascii="Lato" w:hAnsi="Lato"/>
          <w:sz w:val="22"/>
          <w:szCs w:val="22"/>
        </w:rPr>
        <w:t xml:space="preserve">is treated by the NT Supreme Court </w:t>
      </w:r>
      <w:r w:rsidR="00C972F2" w:rsidRPr="003D632A">
        <w:rPr>
          <w:rFonts w:ascii="Lato" w:hAnsi="Lato"/>
          <w:sz w:val="22"/>
          <w:szCs w:val="22"/>
        </w:rPr>
        <w:t xml:space="preserve">as </w:t>
      </w:r>
      <w:r w:rsidR="00D46E66" w:rsidRPr="003D632A">
        <w:rPr>
          <w:rFonts w:ascii="Lato" w:hAnsi="Lato"/>
          <w:sz w:val="22"/>
          <w:szCs w:val="22"/>
        </w:rPr>
        <w:t xml:space="preserve">the same as </w:t>
      </w:r>
      <w:r w:rsidR="000744D1" w:rsidRPr="003D632A">
        <w:rPr>
          <w:rFonts w:ascii="Lato" w:hAnsi="Lato"/>
          <w:sz w:val="22"/>
          <w:szCs w:val="22"/>
        </w:rPr>
        <w:t>other schedule one drugs</w:t>
      </w:r>
      <w:r w:rsidR="00290647" w:rsidRPr="003D632A">
        <w:rPr>
          <w:rStyle w:val="FootnoteReference"/>
          <w:rFonts w:ascii="Lato" w:hAnsi="Lato"/>
          <w:sz w:val="22"/>
          <w:szCs w:val="22"/>
        </w:rPr>
        <w:footnoteReference w:id="8"/>
      </w:r>
      <w:r w:rsidR="00D46E66" w:rsidRPr="003D632A">
        <w:rPr>
          <w:rFonts w:ascii="Lato" w:hAnsi="Lato"/>
          <w:sz w:val="22"/>
          <w:szCs w:val="22"/>
        </w:rPr>
        <w:t>, that is, in general terms</w:t>
      </w:r>
      <w:r w:rsidR="00912EAA" w:rsidRPr="003D632A">
        <w:rPr>
          <w:rFonts w:ascii="Lato" w:hAnsi="Lato"/>
          <w:sz w:val="22"/>
          <w:szCs w:val="22"/>
        </w:rPr>
        <w:t>,</w:t>
      </w:r>
      <w:r w:rsidR="00E17EC4" w:rsidRPr="003D632A">
        <w:rPr>
          <w:rFonts w:ascii="Lato" w:hAnsi="Lato"/>
          <w:sz w:val="22"/>
          <w:szCs w:val="22"/>
        </w:rPr>
        <w:t xml:space="preserve"> </w:t>
      </w:r>
      <w:r w:rsidR="00D46E66" w:rsidRPr="003D632A">
        <w:rPr>
          <w:rFonts w:ascii="Lato" w:hAnsi="Lato"/>
          <w:sz w:val="22"/>
          <w:szCs w:val="22"/>
        </w:rPr>
        <w:t>more serious</w:t>
      </w:r>
      <w:r w:rsidR="00B649BF" w:rsidRPr="003D632A">
        <w:rPr>
          <w:rFonts w:ascii="Lato" w:hAnsi="Lato"/>
          <w:sz w:val="22"/>
          <w:szCs w:val="22"/>
        </w:rPr>
        <w:t xml:space="preserve">ly </w:t>
      </w:r>
      <w:r w:rsidR="00D46E66" w:rsidRPr="003D632A">
        <w:rPr>
          <w:rFonts w:ascii="Lato" w:hAnsi="Lato"/>
          <w:sz w:val="22"/>
          <w:szCs w:val="22"/>
        </w:rPr>
        <w:t>than schedule two drugs</w:t>
      </w:r>
      <w:r w:rsidR="00E17EC4" w:rsidRPr="003D632A">
        <w:rPr>
          <w:rFonts w:ascii="Lato" w:hAnsi="Lato"/>
          <w:sz w:val="22"/>
          <w:szCs w:val="22"/>
        </w:rPr>
        <w:t>, and generally speaking</w:t>
      </w:r>
      <w:r w:rsidR="00B649BF" w:rsidRPr="003D632A">
        <w:rPr>
          <w:rFonts w:ascii="Lato" w:hAnsi="Lato"/>
          <w:sz w:val="22"/>
          <w:szCs w:val="22"/>
        </w:rPr>
        <w:t xml:space="preserve">, </w:t>
      </w:r>
      <w:r w:rsidR="00E17EC4" w:rsidRPr="003D632A">
        <w:rPr>
          <w:rFonts w:ascii="Lato" w:hAnsi="Lato"/>
          <w:sz w:val="22"/>
          <w:szCs w:val="22"/>
        </w:rPr>
        <w:t>requir</w:t>
      </w:r>
      <w:r w:rsidR="00B649BF" w:rsidRPr="003D632A">
        <w:rPr>
          <w:rFonts w:ascii="Lato" w:hAnsi="Lato"/>
          <w:sz w:val="22"/>
          <w:szCs w:val="22"/>
        </w:rPr>
        <w:t>ing</w:t>
      </w:r>
      <w:r w:rsidR="00E17EC4" w:rsidRPr="003D632A">
        <w:rPr>
          <w:rFonts w:ascii="Lato" w:hAnsi="Lato"/>
          <w:sz w:val="22"/>
          <w:szCs w:val="22"/>
        </w:rPr>
        <w:t xml:space="preserve"> punishment that reflects</w:t>
      </w:r>
      <w:r w:rsidR="00C972F2" w:rsidRPr="003D632A">
        <w:rPr>
          <w:rFonts w:ascii="Lato" w:hAnsi="Lato"/>
          <w:sz w:val="22"/>
          <w:szCs w:val="22"/>
        </w:rPr>
        <w:t xml:space="preserve">, </w:t>
      </w:r>
      <w:r w:rsidR="00E17EC4" w:rsidRPr="003D632A">
        <w:rPr>
          <w:rFonts w:ascii="Lato" w:hAnsi="Lato"/>
          <w:i/>
          <w:iCs/>
          <w:sz w:val="22"/>
          <w:szCs w:val="22"/>
        </w:rPr>
        <w:t>inter alia,</w:t>
      </w:r>
      <w:r w:rsidR="00E17EC4" w:rsidRPr="003D632A">
        <w:rPr>
          <w:rFonts w:ascii="Lato" w:hAnsi="Lato"/>
          <w:sz w:val="22"/>
          <w:szCs w:val="22"/>
        </w:rPr>
        <w:t xml:space="preserve"> the principle of general deterrence. </w:t>
      </w:r>
      <w:r w:rsidR="00912EAA" w:rsidRPr="003D632A">
        <w:rPr>
          <w:rFonts w:ascii="Lato" w:hAnsi="Lato"/>
          <w:sz w:val="22"/>
          <w:szCs w:val="22"/>
        </w:rPr>
        <w:t xml:space="preserve"> The difference in maximum penalties between the two categories of drugs is indicative of</w:t>
      </w:r>
      <w:r w:rsidR="00E17EC4" w:rsidRPr="003D632A">
        <w:rPr>
          <w:rFonts w:ascii="Lato" w:hAnsi="Lato"/>
          <w:sz w:val="22"/>
          <w:szCs w:val="22"/>
        </w:rPr>
        <w:t xml:space="preserve"> the greater seriousness</w:t>
      </w:r>
      <w:r w:rsidR="00B649BF" w:rsidRPr="003D632A">
        <w:rPr>
          <w:rFonts w:ascii="Lato" w:hAnsi="Lato"/>
          <w:sz w:val="22"/>
          <w:szCs w:val="22"/>
        </w:rPr>
        <w:t xml:space="preserve"> </w:t>
      </w:r>
      <w:r w:rsidR="00E17EC4" w:rsidRPr="003D632A">
        <w:rPr>
          <w:rFonts w:ascii="Lato" w:hAnsi="Lato"/>
          <w:sz w:val="22"/>
          <w:szCs w:val="22"/>
        </w:rPr>
        <w:t>of offending involving schedule one as opposed to sch</w:t>
      </w:r>
      <w:r w:rsidR="0019698E" w:rsidRPr="003D632A">
        <w:rPr>
          <w:rFonts w:ascii="Lato" w:hAnsi="Lato"/>
          <w:sz w:val="22"/>
          <w:szCs w:val="22"/>
        </w:rPr>
        <w:t xml:space="preserve">edule </w:t>
      </w:r>
      <w:r w:rsidR="00E17EC4" w:rsidRPr="003D632A">
        <w:rPr>
          <w:rFonts w:ascii="Lato" w:hAnsi="Lato"/>
          <w:sz w:val="22"/>
          <w:szCs w:val="22"/>
        </w:rPr>
        <w:t>two drugs.</w:t>
      </w:r>
      <w:r w:rsidR="00912EAA" w:rsidRPr="003D632A">
        <w:rPr>
          <w:rFonts w:ascii="Lato" w:hAnsi="Lato"/>
          <w:sz w:val="22"/>
          <w:szCs w:val="22"/>
        </w:rPr>
        <w:t xml:space="preserve"> </w:t>
      </w:r>
      <w:r w:rsidR="00D46E66" w:rsidRPr="003D632A">
        <w:rPr>
          <w:rFonts w:ascii="Lato" w:hAnsi="Lato"/>
          <w:sz w:val="22"/>
          <w:szCs w:val="22"/>
        </w:rPr>
        <w:t xml:space="preserve"> </w:t>
      </w:r>
    </w:p>
    <w:p w14:paraId="21120795" w14:textId="77777777" w:rsidR="0042154D" w:rsidRPr="003D632A" w:rsidRDefault="0042154D" w:rsidP="0042154D">
      <w:pPr>
        <w:pStyle w:val="ListParagraph"/>
        <w:rPr>
          <w:rFonts w:ascii="Lato" w:hAnsi="Lato"/>
          <w:sz w:val="22"/>
          <w:szCs w:val="22"/>
        </w:rPr>
      </w:pPr>
    </w:p>
    <w:p w14:paraId="2CD51B32" w14:textId="154910C1" w:rsidR="000E4F9B" w:rsidRPr="003D632A" w:rsidRDefault="000744D1" w:rsidP="00CE5A31">
      <w:pPr>
        <w:pStyle w:val="ListParagraph"/>
        <w:numPr>
          <w:ilvl w:val="0"/>
          <w:numId w:val="1"/>
        </w:numPr>
        <w:jc w:val="both"/>
        <w:rPr>
          <w:rFonts w:ascii="Lato" w:hAnsi="Lato"/>
          <w:sz w:val="22"/>
          <w:szCs w:val="22"/>
        </w:rPr>
      </w:pPr>
      <w:r w:rsidRPr="003D632A">
        <w:rPr>
          <w:rFonts w:ascii="Lato" w:hAnsi="Lato"/>
          <w:sz w:val="22"/>
          <w:szCs w:val="22"/>
        </w:rPr>
        <w:t xml:space="preserve">The offending conduct was not </w:t>
      </w:r>
      <w:r w:rsidR="00DF4CE6" w:rsidRPr="003D632A">
        <w:rPr>
          <w:rFonts w:ascii="Lato" w:hAnsi="Lato"/>
          <w:sz w:val="22"/>
          <w:szCs w:val="22"/>
        </w:rPr>
        <w:t>one-off but</w:t>
      </w:r>
      <w:r w:rsidRPr="003D632A">
        <w:rPr>
          <w:rFonts w:ascii="Lato" w:hAnsi="Lato"/>
          <w:sz w:val="22"/>
          <w:szCs w:val="22"/>
        </w:rPr>
        <w:t xml:space="preserve"> repeated over a </w:t>
      </w:r>
      <w:r w:rsidR="00912EAA" w:rsidRPr="003D632A">
        <w:rPr>
          <w:rFonts w:ascii="Lato" w:hAnsi="Lato"/>
          <w:sz w:val="22"/>
          <w:szCs w:val="22"/>
        </w:rPr>
        <w:t>period of months</w:t>
      </w:r>
      <w:r w:rsidRPr="003D632A">
        <w:rPr>
          <w:rFonts w:ascii="Lato" w:hAnsi="Lato"/>
          <w:sz w:val="22"/>
          <w:szCs w:val="22"/>
        </w:rPr>
        <w:t>. It is</w:t>
      </w:r>
      <w:r w:rsidR="00F43D84" w:rsidRPr="003D632A">
        <w:rPr>
          <w:rFonts w:ascii="Lato" w:hAnsi="Lato"/>
          <w:sz w:val="22"/>
          <w:szCs w:val="22"/>
        </w:rPr>
        <w:t xml:space="preserve"> noted that</w:t>
      </w:r>
      <w:r w:rsidRPr="003D632A">
        <w:rPr>
          <w:rFonts w:ascii="Lato" w:hAnsi="Lato"/>
          <w:sz w:val="22"/>
          <w:szCs w:val="22"/>
        </w:rPr>
        <w:t xml:space="preserve"> Mr Secondis</w:t>
      </w:r>
      <w:r w:rsidR="00F43D84" w:rsidRPr="003D632A">
        <w:rPr>
          <w:rFonts w:ascii="Lato" w:hAnsi="Lato"/>
          <w:sz w:val="22"/>
          <w:szCs w:val="22"/>
        </w:rPr>
        <w:t xml:space="preserve"> </w:t>
      </w:r>
      <w:r w:rsidRPr="003D632A">
        <w:rPr>
          <w:rFonts w:ascii="Lato" w:hAnsi="Lato"/>
          <w:sz w:val="22"/>
          <w:szCs w:val="22"/>
        </w:rPr>
        <w:t xml:space="preserve">was </w:t>
      </w:r>
      <w:r w:rsidR="00912EAA" w:rsidRPr="003D632A">
        <w:rPr>
          <w:rFonts w:ascii="Lato" w:hAnsi="Lato"/>
          <w:sz w:val="22"/>
          <w:szCs w:val="22"/>
        </w:rPr>
        <w:t xml:space="preserve">not </w:t>
      </w:r>
      <w:r w:rsidRPr="003D632A">
        <w:rPr>
          <w:rFonts w:ascii="Lato" w:hAnsi="Lato"/>
          <w:sz w:val="22"/>
          <w:szCs w:val="22"/>
        </w:rPr>
        <w:t xml:space="preserve">supplying for commercial gain. </w:t>
      </w:r>
      <w:r w:rsidR="0042154D" w:rsidRPr="003D632A">
        <w:rPr>
          <w:rFonts w:ascii="Lato" w:hAnsi="Lato"/>
          <w:sz w:val="22"/>
          <w:szCs w:val="22"/>
        </w:rPr>
        <w:t>However</w:t>
      </w:r>
      <w:r w:rsidRPr="003D632A">
        <w:rPr>
          <w:rFonts w:ascii="Lato" w:hAnsi="Lato"/>
          <w:sz w:val="22"/>
          <w:szCs w:val="22"/>
        </w:rPr>
        <w:t xml:space="preserve">, he </w:t>
      </w:r>
      <w:r w:rsidR="007E6F19" w:rsidRPr="003D632A">
        <w:rPr>
          <w:rFonts w:ascii="Lato" w:hAnsi="Lato"/>
          <w:sz w:val="22"/>
          <w:szCs w:val="22"/>
        </w:rPr>
        <w:t xml:space="preserve">not only </w:t>
      </w:r>
      <w:r w:rsidRPr="003D632A">
        <w:rPr>
          <w:rFonts w:ascii="Lato" w:hAnsi="Lato"/>
          <w:sz w:val="22"/>
          <w:szCs w:val="22"/>
        </w:rPr>
        <w:t>sourced the drug, at times</w:t>
      </w:r>
      <w:r w:rsidR="00B649BF" w:rsidRPr="003D632A">
        <w:rPr>
          <w:rFonts w:ascii="Lato" w:hAnsi="Lato"/>
          <w:sz w:val="22"/>
          <w:szCs w:val="22"/>
        </w:rPr>
        <w:t>,</w:t>
      </w:r>
      <w:r w:rsidRPr="003D632A">
        <w:rPr>
          <w:rFonts w:ascii="Lato" w:hAnsi="Lato"/>
          <w:sz w:val="22"/>
          <w:szCs w:val="22"/>
        </w:rPr>
        <w:t xml:space="preserve"> on behalf of others</w:t>
      </w:r>
      <w:r w:rsidR="007E6F19" w:rsidRPr="003D632A">
        <w:rPr>
          <w:rFonts w:ascii="Lato" w:hAnsi="Lato"/>
          <w:sz w:val="22"/>
          <w:szCs w:val="22"/>
        </w:rPr>
        <w:t xml:space="preserve"> but </w:t>
      </w:r>
      <w:r w:rsidRPr="003D632A">
        <w:rPr>
          <w:rFonts w:ascii="Lato" w:hAnsi="Lato"/>
          <w:sz w:val="22"/>
          <w:szCs w:val="22"/>
        </w:rPr>
        <w:t>also supplied it to others, albeit to friends in a social setting</w:t>
      </w:r>
      <w:r w:rsidR="00912EAA" w:rsidRPr="003D632A">
        <w:rPr>
          <w:rFonts w:ascii="Lato" w:hAnsi="Lato"/>
          <w:sz w:val="22"/>
          <w:szCs w:val="22"/>
        </w:rPr>
        <w:t xml:space="preserve">. </w:t>
      </w:r>
      <w:r w:rsidR="006979E9" w:rsidRPr="003D632A">
        <w:rPr>
          <w:rFonts w:ascii="Lato" w:hAnsi="Lato"/>
          <w:sz w:val="22"/>
          <w:szCs w:val="22"/>
        </w:rPr>
        <w:t xml:space="preserve"> </w:t>
      </w:r>
      <w:r w:rsidR="00B649BF" w:rsidRPr="003D632A">
        <w:rPr>
          <w:rFonts w:ascii="Lato" w:hAnsi="Lato"/>
          <w:sz w:val="22"/>
          <w:szCs w:val="22"/>
        </w:rPr>
        <w:t xml:space="preserve">Mr Secondis did not receive the benefit of a non-conviction order; he received a (suspended) sentence of imprisonment– </w:t>
      </w:r>
      <w:r w:rsidR="00DF4CE6" w:rsidRPr="003D632A">
        <w:rPr>
          <w:rFonts w:ascii="Lato" w:hAnsi="Lato"/>
          <w:sz w:val="22"/>
          <w:szCs w:val="22"/>
        </w:rPr>
        <w:t>even though</w:t>
      </w:r>
      <w:r w:rsidR="00B649BF" w:rsidRPr="003D632A">
        <w:rPr>
          <w:rFonts w:ascii="Lato" w:hAnsi="Lato"/>
          <w:sz w:val="22"/>
          <w:szCs w:val="22"/>
        </w:rPr>
        <w:t xml:space="preserve"> he had no prior convictions. This reflected the nature of the seriousness of the offending. </w:t>
      </w:r>
      <w:r w:rsidR="006979E9" w:rsidRPr="003D632A">
        <w:rPr>
          <w:rFonts w:ascii="Lato" w:hAnsi="Lato"/>
          <w:sz w:val="22"/>
          <w:szCs w:val="22"/>
        </w:rPr>
        <w:t>Mr</w:t>
      </w:r>
      <w:r w:rsidR="005B7D11" w:rsidRPr="003D632A">
        <w:rPr>
          <w:rFonts w:ascii="Lato" w:hAnsi="Lato"/>
          <w:sz w:val="22"/>
          <w:szCs w:val="22"/>
        </w:rPr>
        <w:t> </w:t>
      </w:r>
      <w:r w:rsidR="006979E9" w:rsidRPr="003D632A">
        <w:rPr>
          <w:rFonts w:ascii="Lato" w:hAnsi="Lato"/>
          <w:sz w:val="22"/>
          <w:szCs w:val="22"/>
        </w:rPr>
        <w:t xml:space="preserve">Maley referred to </w:t>
      </w:r>
      <w:r w:rsidR="006979E9" w:rsidRPr="003D632A">
        <w:rPr>
          <w:rFonts w:ascii="Lato" w:hAnsi="Lato"/>
          <w:b/>
          <w:bCs/>
          <w:i/>
          <w:iCs/>
          <w:sz w:val="22"/>
          <w:szCs w:val="22"/>
        </w:rPr>
        <w:t>Rigby v Kotis,</w:t>
      </w:r>
      <w:r w:rsidR="00912EAA" w:rsidRPr="003D632A">
        <w:rPr>
          <w:rStyle w:val="FootnoteReference"/>
          <w:rFonts w:ascii="Lato" w:hAnsi="Lato"/>
          <w:b/>
          <w:bCs/>
          <w:i/>
          <w:iCs/>
          <w:sz w:val="22"/>
          <w:szCs w:val="22"/>
        </w:rPr>
        <w:footnoteReference w:id="9"/>
      </w:r>
      <w:r w:rsidR="006979E9" w:rsidRPr="003D632A">
        <w:rPr>
          <w:rFonts w:ascii="Lato" w:hAnsi="Lato"/>
          <w:sz w:val="22"/>
          <w:szCs w:val="22"/>
        </w:rPr>
        <w:t xml:space="preserve"> a Crown appeal to the Supreme Court from a judgment of </w:t>
      </w:r>
      <w:r w:rsidR="00912EAA" w:rsidRPr="003D632A">
        <w:rPr>
          <w:rFonts w:ascii="Lato" w:hAnsi="Lato"/>
          <w:sz w:val="22"/>
          <w:szCs w:val="22"/>
        </w:rPr>
        <w:t>the</w:t>
      </w:r>
      <w:r w:rsidR="006979E9" w:rsidRPr="003D632A">
        <w:rPr>
          <w:rFonts w:ascii="Lato" w:hAnsi="Lato"/>
          <w:sz w:val="22"/>
          <w:szCs w:val="22"/>
        </w:rPr>
        <w:t xml:space="preserve"> Local Court. The case is instructive</w:t>
      </w:r>
      <w:r w:rsidR="00912EAA" w:rsidRPr="003D632A">
        <w:rPr>
          <w:rFonts w:ascii="Lato" w:hAnsi="Lato"/>
          <w:sz w:val="22"/>
          <w:szCs w:val="22"/>
        </w:rPr>
        <w:t>.</w:t>
      </w:r>
      <w:r w:rsidR="006979E9" w:rsidRPr="003D632A">
        <w:rPr>
          <w:rFonts w:ascii="Lato" w:hAnsi="Lato"/>
          <w:sz w:val="22"/>
          <w:szCs w:val="22"/>
        </w:rPr>
        <w:t xml:space="preserve"> The quantity of cocaine in that case was 33.7 grams</w:t>
      </w:r>
      <w:r w:rsidR="00912EAA" w:rsidRPr="003D632A">
        <w:rPr>
          <w:rFonts w:ascii="Lato" w:hAnsi="Lato"/>
          <w:sz w:val="22"/>
          <w:szCs w:val="22"/>
        </w:rPr>
        <w:t>,</w:t>
      </w:r>
      <w:r w:rsidR="006979E9" w:rsidRPr="003D632A">
        <w:rPr>
          <w:rFonts w:ascii="Lato" w:hAnsi="Lato"/>
          <w:sz w:val="22"/>
          <w:szCs w:val="22"/>
        </w:rPr>
        <w:t xml:space="preserve"> which was slightly less than </w:t>
      </w:r>
      <w:r w:rsidR="00B649BF" w:rsidRPr="003D632A">
        <w:rPr>
          <w:rFonts w:ascii="Lato" w:hAnsi="Lato"/>
          <w:sz w:val="22"/>
          <w:szCs w:val="22"/>
        </w:rPr>
        <w:t xml:space="preserve">in </w:t>
      </w:r>
      <w:r w:rsidR="005074FF">
        <w:rPr>
          <w:rFonts w:ascii="Lato" w:hAnsi="Lato"/>
          <w:sz w:val="22"/>
          <w:szCs w:val="22"/>
        </w:rPr>
        <w:t>Mr Secondis’</w:t>
      </w:r>
      <w:r w:rsidR="006979E9" w:rsidRPr="003D632A">
        <w:rPr>
          <w:rFonts w:ascii="Lato" w:hAnsi="Lato"/>
          <w:sz w:val="22"/>
          <w:szCs w:val="22"/>
        </w:rPr>
        <w:t xml:space="preserve"> matter. A fine was imposed </w:t>
      </w:r>
      <w:r w:rsidR="00B649BF" w:rsidRPr="003D632A">
        <w:rPr>
          <w:rFonts w:ascii="Lato" w:hAnsi="Lato"/>
          <w:sz w:val="22"/>
          <w:szCs w:val="22"/>
        </w:rPr>
        <w:t>by the Local Court judge in</w:t>
      </w:r>
      <w:r w:rsidR="00E77732" w:rsidRPr="003D632A">
        <w:rPr>
          <w:rFonts w:ascii="Lato" w:hAnsi="Lato"/>
          <w:sz w:val="22"/>
          <w:szCs w:val="22"/>
        </w:rPr>
        <w:t xml:space="preserve"> </w:t>
      </w:r>
      <w:r w:rsidR="00E77732" w:rsidRPr="003D632A">
        <w:rPr>
          <w:rFonts w:ascii="Lato" w:hAnsi="Lato"/>
          <w:b/>
          <w:bCs/>
          <w:i/>
          <w:iCs/>
          <w:sz w:val="22"/>
          <w:szCs w:val="22"/>
        </w:rPr>
        <w:t>Kotis;</w:t>
      </w:r>
      <w:r w:rsidR="00912EAA" w:rsidRPr="003D632A">
        <w:rPr>
          <w:rFonts w:ascii="Lato" w:hAnsi="Lato"/>
          <w:sz w:val="22"/>
          <w:szCs w:val="22"/>
        </w:rPr>
        <w:t xml:space="preserve"> </w:t>
      </w:r>
      <w:r w:rsidR="00B649BF" w:rsidRPr="003D632A">
        <w:rPr>
          <w:rFonts w:ascii="Lato" w:hAnsi="Lato"/>
          <w:sz w:val="22"/>
          <w:szCs w:val="22"/>
        </w:rPr>
        <w:t>the appeal was upheld in favour o</w:t>
      </w:r>
      <w:r w:rsidR="0019698E" w:rsidRPr="003D632A">
        <w:rPr>
          <w:rFonts w:ascii="Lato" w:hAnsi="Lato"/>
          <w:sz w:val="22"/>
          <w:szCs w:val="22"/>
        </w:rPr>
        <w:t>f</w:t>
      </w:r>
      <w:r w:rsidR="00B649BF" w:rsidRPr="003D632A">
        <w:rPr>
          <w:rFonts w:ascii="Lato" w:hAnsi="Lato"/>
          <w:sz w:val="22"/>
          <w:szCs w:val="22"/>
        </w:rPr>
        <w:t xml:space="preserve"> the Crown and a suspended sentence imposed</w:t>
      </w:r>
      <w:r w:rsidR="006979E9" w:rsidRPr="003D632A">
        <w:rPr>
          <w:rFonts w:ascii="Lato" w:hAnsi="Lato"/>
          <w:sz w:val="22"/>
          <w:szCs w:val="22"/>
        </w:rPr>
        <w:t xml:space="preserve">. Like Mr Secondis, </w:t>
      </w:r>
      <w:r w:rsidR="002E6FC7" w:rsidRPr="003D632A">
        <w:rPr>
          <w:rFonts w:ascii="Lato" w:hAnsi="Lato"/>
          <w:sz w:val="22"/>
          <w:szCs w:val="22"/>
        </w:rPr>
        <w:t xml:space="preserve">Mr Kotis </w:t>
      </w:r>
      <w:r w:rsidR="006979E9" w:rsidRPr="003D632A">
        <w:rPr>
          <w:rFonts w:ascii="Lato" w:hAnsi="Lato"/>
          <w:sz w:val="22"/>
          <w:szCs w:val="22"/>
        </w:rPr>
        <w:t>had no</w:t>
      </w:r>
      <w:r w:rsidR="00912EAA" w:rsidRPr="003D632A">
        <w:rPr>
          <w:rFonts w:ascii="Lato" w:hAnsi="Lato"/>
          <w:sz w:val="22"/>
          <w:szCs w:val="22"/>
        </w:rPr>
        <w:t xml:space="preserve"> </w:t>
      </w:r>
      <w:r w:rsidR="006979E9" w:rsidRPr="003D632A">
        <w:rPr>
          <w:rFonts w:ascii="Lato" w:hAnsi="Lato"/>
          <w:sz w:val="22"/>
          <w:szCs w:val="22"/>
        </w:rPr>
        <w:t>criminal history and had devoted a lot of time to performing community work and assisting others.</w:t>
      </w:r>
      <w:r w:rsidR="00BC5AF8" w:rsidRPr="003D632A">
        <w:rPr>
          <w:rStyle w:val="FootnoteReference"/>
          <w:rFonts w:ascii="Lato" w:hAnsi="Lato"/>
          <w:sz w:val="22"/>
          <w:szCs w:val="22"/>
        </w:rPr>
        <w:footnoteReference w:id="10"/>
      </w:r>
      <w:r w:rsidR="00BC5AF8" w:rsidRPr="003D632A">
        <w:rPr>
          <w:rFonts w:ascii="Lato" w:hAnsi="Lato"/>
          <w:sz w:val="22"/>
          <w:szCs w:val="22"/>
        </w:rPr>
        <w:t xml:space="preserve"> Also, like Mr Secondis, Mr Kotis </w:t>
      </w:r>
      <w:r w:rsidR="004105D3" w:rsidRPr="003D632A">
        <w:rPr>
          <w:rFonts w:ascii="Lato" w:hAnsi="Lato"/>
          <w:sz w:val="22"/>
          <w:szCs w:val="22"/>
        </w:rPr>
        <w:t>was found to be supplying to family and friends</w:t>
      </w:r>
      <w:r w:rsidR="002833EB" w:rsidRPr="003D632A">
        <w:rPr>
          <w:rFonts w:ascii="Lato" w:hAnsi="Lato"/>
          <w:sz w:val="22"/>
          <w:szCs w:val="22"/>
        </w:rPr>
        <w:t xml:space="preserve"> and not for the purposes of commercial gain</w:t>
      </w:r>
      <w:r w:rsidR="004105D3" w:rsidRPr="003D632A">
        <w:rPr>
          <w:rFonts w:ascii="Lato" w:hAnsi="Lato"/>
          <w:sz w:val="22"/>
          <w:szCs w:val="22"/>
        </w:rPr>
        <w:t>.</w:t>
      </w:r>
      <w:r w:rsidR="004105D3" w:rsidRPr="003D632A">
        <w:rPr>
          <w:rStyle w:val="FootnoteReference"/>
          <w:rFonts w:ascii="Lato" w:hAnsi="Lato"/>
          <w:sz w:val="22"/>
          <w:szCs w:val="22"/>
        </w:rPr>
        <w:footnoteReference w:id="11"/>
      </w:r>
      <w:r w:rsidR="004105D3" w:rsidRPr="003D632A">
        <w:rPr>
          <w:rFonts w:ascii="Lato" w:hAnsi="Lato"/>
          <w:sz w:val="22"/>
          <w:szCs w:val="22"/>
        </w:rPr>
        <w:t>Hiley J</w:t>
      </w:r>
      <w:r w:rsidR="006A2CE8" w:rsidRPr="003D632A">
        <w:rPr>
          <w:rFonts w:ascii="Lato" w:hAnsi="Lato"/>
          <w:sz w:val="22"/>
          <w:szCs w:val="22"/>
        </w:rPr>
        <w:t>, at [35],</w:t>
      </w:r>
      <w:r w:rsidR="004105D3" w:rsidRPr="003D632A">
        <w:rPr>
          <w:rFonts w:ascii="Lato" w:hAnsi="Lato"/>
          <w:sz w:val="22"/>
          <w:szCs w:val="22"/>
        </w:rPr>
        <w:t xml:space="preserve"> disagreed with the Crown’s contention that supply to family and friends </w:t>
      </w:r>
      <w:r w:rsidR="002833EB" w:rsidRPr="003D632A">
        <w:rPr>
          <w:rFonts w:ascii="Lato" w:hAnsi="Lato"/>
          <w:sz w:val="22"/>
          <w:szCs w:val="22"/>
        </w:rPr>
        <w:t xml:space="preserve">merited a greater need for </w:t>
      </w:r>
      <w:r w:rsidR="002833EB" w:rsidRPr="003D632A">
        <w:rPr>
          <w:rFonts w:ascii="Lato" w:hAnsi="Lato"/>
          <w:sz w:val="22"/>
          <w:szCs w:val="22"/>
        </w:rPr>
        <w:lastRenderedPageBreak/>
        <w:t xml:space="preserve">general deterrence (than supply as part of a commercial </w:t>
      </w:r>
      <w:r w:rsidR="006A2CE8" w:rsidRPr="003D632A">
        <w:rPr>
          <w:rFonts w:ascii="Lato" w:hAnsi="Lato"/>
          <w:sz w:val="22"/>
          <w:szCs w:val="22"/>
        </w:rPr>
        <w:t xml:space="preserve"> enterprise</w:t>
      </w:r>
      <w:r w:rsidR="002833EB" w:rsidRPr="003D632A">
        <w:rPr>
          <w:rFonts w:ascii="Lato" w:hAnsi="Lato"/>
          <w:sz w:val="22"/>
          <w:szCs w:val="22"/>
        </w:rPr>
        <w:t>)</w:t>
      </w:r>
      <w:r w:rsidR="006A2CE8" w:rsidRPr="003D632A">
        <w:rPr>
          <w:rFonts w:ascii="Lato" w:hAnsi="Lato"/>
          <w:sz w:val="22"/>
          <w:szCs w:val="22"/>
        </w:rPr>
        <w:t>, but stated</w:t>
      </w:r>
      <w:r w:rsidR="004105D3" w:rsidRPr="003D632A">
        <w:rPr>
          <w:rFonts w:ascii="Lato" w:hAnsi="Lato"/>
          <w:sz w:val="22"/>
          <w:szCs w:val="22"/>
        </w:rPr>
        <w:t>, at [36] that the offending conduct demonstrated a continuing attitude of disobedience to the law.</w:t>
      </w:r>
      <w:r w:rsidR="00290647" w:rsidRPr="003D632A">
        <w:rPr>
          <w:rFonts w:ascii="Lato" w:hAnsi="Lato"/>
          <w:sz w:val="22"/>
          <w:szCs w:val="22"/>
        </w:rPr>
        <w:t xml:space="preserve"> His Honour also </w:t>
      </w:r>
      <w:r w:rsidR="00912EAA" w:rsidRPr="003D632A">
        <w:rPr>
          <w:rFonts w:ascii="Lato" w:hAnsi="Lato"/>
          <w:sz w:val="22"/>
          <w:szCs w:val="22"/>
        </w:rPr>
        <w:t>stated</w:t>
      </w:r>
      <w:r w:rsidR="00290647" w:rsidRPr="003D632A">
        <w:rPr>
          <w:rFonts w:ascii="Lato" w:hAnsi="Lato"/>
          <w:sz w:val="22"/>
          <w:szCs w:val="22"/>
        </w:rPr>
        <w:t>, at [45] that :</w:t>
      </w:r>
    </w:p>
    <w:p w14:paraId="3B368C89" w14:textId="36BA4554" w:rsidR="00290647" w:rsidRPr="003D632A" w:rsidRDefault="00290647" w:rsidP="00290647">
      <w:pPr>
        <w:pStyle w:val="ListParagraph"/>
        <w:jc w:val="both"/>
        <w:rPr>
          <w:rFonts w:ascii="Lato" w:hAnsi="Lato"/>
          <w:sz w:val="22"/>
          <w:szCs w:val="22"/>
        </w:rPr>
      </w:pPr>
    </w:p>
    <w:p w14:paraId="23026E06" w14:textId="5C8A6178" w:rsidR="00290647" w:rsidRPr="003D632A" w:rsidRDefault="00290647" w:rsidP="00290647">
      <w:pPr>
        <w:pStyle w:val="ListParagraph"/>
        <w:ind w:left="1440"/>
        <w:jc w:val="both"/>
        <w:rPr>
          <w:rFonts w:ascii="Lato" w:hAnsi="Lato"/>
          <w:i/>
          <w:iCs/>
          <w:sz w:val="22"/>
          <w:szCs w:val="22"/>
        </w:rPr>
      </w:pPr>
      <w:r w:rsidRPr="003D632A">
        <w:rPr>
          <w:rFonts w:ascii="Lato" w:hAnsi="Lato"/>
          <w:i/>
          <w:iCs/>
          <w:sz w:val="22"/>
          <w:szCs w:val="22"/>
        </w:rPr>
        <w:t xml:space="preserve">“The fact that the present offending involved quantities of cocaine significantly higher than the minimum </w:t>
      </w:r>
      <w:r w:rsidR="005074FF" w:rsidRPr="003D632A">
        <w:rPr>
          <w:rFonts w:ascii="Lato" w:hAnsi="Lato"/>
          <w:i/>
          <w:iCs/>
          <w:sz w:val="22"/>
          <w:szCs w:val="22"/>
        </w:rPr>
        <w:t>trafficable</w:t>
      </w:r>
      <w:r w:rsidRPr="003D632A">
        <w:rPr>
          <w:rFonts w:ascii="Lato" w:hAnsi="Lato"/>
          <w:i/>
          <w:iCs/>
          <w:sz w:val="22"/>
          <w:szCs w:val="22"/>
        </w:rPr>
        <w:t xml:space="preserve"> quantity, and multiple users of the drugs supplied by the respondent, makes more relevant the concerns expressed by authorities such as Roe and the need for greater focus upon denunciation and general deterrence.”</w:t>
      </w:r>
    </w:p>
    <w:p w14:paraId="3318371F" w14:textId="6A3711EE" w:rsidR="00290647" w:rsidRPr="003D632A" w:rsidRDefault="00290647" w:rsidP="00912EAA">
      <w:pPr>
        <w:jc w:val="both"/>
        <w:rPr>
          <w:rFonts w:ascii="Lato" w:hAnsi="Lato"/>
          <w:sz w:val="22"/>
          <w:szCs w:val="22"/>
        </w:rPr>
      </w:pPr>
    </w:p>
    <w:p w14:paraId="5DB7D9E9" w14:textId="712FA28C" w:rsidR="00B162B1" w:rsidRPr="003D632A" w:rsidRDefault="00B162B1" w:rsidP="00912EAA">
      <w:pPr>
        <w:jc w:val="both"/>
        <w:rPr>
          <w:rFonts w:ascii="Lato" w:hAnsi="Lato"/>
          <w:sz w:val="22"/>
          <w:szCs w:val="22"/>
        </w:rPr>
      </w:pPr>
    </w:p>
    <w:p w14:paraId="4B7BCC12" w14:textId="5CF56A97" w:rsidR="00B162B1" w:rsidRPr="003D632A" w:rsidRDefault="00B162B1" w:rsidP="00912EAA">
      <w:pPr>
        <w:jc w:val="both"/>
        <w:rPr>
          <w:rFonts w:ascii="Lato" w:hAnsi="Lato"/>
          <w:b/>
          <w:bCs/>
          <w:i/>
          <w:iCs/>
          <w:sz w:val="22"/>
          <w:szCs w:val="22"/>
        </w:rPr>
      </w:pPr>
      <w:r w:rsidRPr="003D632A">
        <w:rPr>
          <w:rFonts w:ascii="Lato" w:hAnsi="Lato"/>
          <w:b/>
          <w:bCs/>
          <w:i/>
          <w:iCs/>
          <w:sz w:val="22"/>
          <w:szCs w:val="22"/>
        </w:rPr>
        <w:t xml:space="preserve">The meaning of </w:t>
      </w:r>
      <w:r w:rsidR="006A2CE8" w:rsidRPr="003D632A">
        <w:rPr>
          <w:rFonts w:ascii="Lato" w:hAnsi="Lato"/>
          <w:b/>
          <w:bCs/>
          <w:i/>
          <w:iCs/>
          <w:sz w:val="22"/>
          <w:szCs w:val="22"/>
        </w:rPr>
        <w:t xml:space="preserve"> “</w:t>
      </w:r>
      <w:r w:rsidRPr="003D632A">
        <w:rPr>
          <w:rFonts w:ascii="Lato" w:hAnsi="Lato"/>
          <w:b/>
          <w:bCs/>
          <w:i/>
          <w:iCs/>
          <w:sz w:val="22"/>
          <w:szCs w:val="22"/>
        </w:rPr>
        <w:t>trivial</w:t>
      </w:r>
      <w:r w:rsidR="006A2CE8" w:rsidRPr="003D632A">
        <w:rPr>
          <w:rFonts w:ascii="Lato" w:hAnsi="Lato"/>
          <w:b/>
          <w:bCs/>
          <w:i/>
          <w:iCs/>
          <w:sz w:val="22"/>
          <w:szCs w:val="22"/>
        </w:rPr>
        <w:t>”</w:t>
      </w:r>
    </w:p>
    <w:p w14:paraId="4E81E81E" w14:textId="77777777" w:rsidR="00B162B1" w:rsidRPr="003D632A" w:rsidRDefault="00B162B1" w:rsidP="00912EAA">
      <w:pPr>
        <w:jc w:val="both"/>
        <w:rPr>
          <w:rFonts w:ascii="Lato" w:hAnsi="Lato"/>
          <w:b/>
          <w:bCs/>
          <w:iCs/>
          <w:sz w:val="22"/>
          <w:szCs w:val="22"/>
        </w:rPr>
      </w:pPr>
    </w:p>
    <w:p w14:paraId="7295ED7F" w14:textId="29C58360" w:rsidR="00912EAA" w:rsidRPr="003D632A" w:rsidRDefault="002D79E1" w:rsidP="00912EAA">
      <w:pPr>
        <w:pStyle w:val="ListParagraph"/>
        <w:numPr>
          <w:ilvl w:val="0"/>
          <w:numId w:val="1"/>
        </w:numPr>
        <w:jc w:val="both"/>
        <w:rPr>
          <w:rFonts w:ascii="Lato" w:hAnsi="Lato"/>
          <w:iCs/>
          <w:sz w:val="22"/>
          <w:szCs w:val="22"/>
        </w:rPr>
      </w:pPr>
      <w:r w:rsidRPr="003D632A">
        <w:rPr>
          <w:rFonts w:ascii="Lato" w:hAnsi="Lato"/>
          <w:sz w:val="22"/>
          <w:szCs w:val="22"/>
        </w:rPr>
        <w:t xml:space="preserve">Regarding the meaning of the word </w:t>
      </w:r>
      <w:r w:rsidR="00D21E61" w:rsidRPr="003D632A">
        <w:rPr>
          <w:rFonts w:ascii="Lato" w:hAnsi="Lato"/>
          <w:sz w:val="22"/>
          <w:szCs w:val="22"/>
        </w:rPr>
        <w:t>“</w:t>
      </w:r>
      <w:r w:rsidRPr="003D632A">
        <w:rPr>
          <w:rFonts w:ascii="Lato" w:hAnsi="Lato"/>
          <w:sz w:val="22"/>
          <w:szCs w:val="22"/>
        </w:rPr>
        <w:t>trivial</w:t>
      </w:r>
      <w:r w:rsidR="00D21E61" w:rsidRPr="003D632A">
        <w:rPr>
          <w:rFonts w:ascii="Lato" w:hAnsi="Lato"/>
          <w:sz w:val="22"/>
          <w:szCs w:val="22"/>
        </w:rPr>
        <w:t>”</w:t>
      </w:r>
      <w:r w:rsidR="00D47B9E" w:rsidRPr="003D632A">
        <w:rPr>
          <w:rFonts w:ascii="Lato" w:hAnsi="Lato"/>
          <w:sz w:val="22"/>
          <w:szCs w:val="22"/>
        </w:rPr>
        <w:t>,</w:t>
      </w:r>
      <w:r w:rsidR="002E6FC7" w:rsidRPr="003D632A">
        <w:rPr>
          <w:rFonts w:ascii="Lato" w:hAnsi="Lato"/>
          <w:sz w:val="22"/>
          <w:szCs w:val="22"/>
        </w:rPr>
        <w:t xml:space="preserve"> </w:t>
      </w:r>
      <w:r w:rsidRPr="003D632A">
        <w:rPr>
          <w:rFonts w:ascii="Lato" w:hAnsi="Lato"/>
          <w:sz w:val="22"/>
          <w:szCs w:val="22"/>
        </w:rPr>
        <w:t xml:space="preserve">in the absence of any </w:t>
      </w:r>
      <w:r w:rsidR="009F5604" w:rsidRPr="003D632A">
        <w:rPr>
          <w:rFonts w:ascii="Lato" w:hAnsi="Lato"/>
          <w:sz w:val="22"/>
          <w:szCs w:val="22"/>
        </w:rPr>
        <w:t xml:space="preserve">defined </w:t>
      </w:r>
      <w:r w:rsidRPr="003D632A">
        <w:rPr>
          <w:rFonts w:ascii="Lato" w:hAnsi="Lato"/>
          <w:sz w:val="22"/>
          <w:szCs w:val="22"/>
        </w:rPr>
        <w:t xml:space="preserve">meaning of the word contained in the Act, the </w:t>
      </w:r>
      <w:r w:rsidR="00D47B9E" w:rsidRPr="003D632A">
        <w:rPr>
          <w:rFonts w:ascii="Lato" w:hAnsi="Lato"/>
          <w:sz w:val="22"/>
          <w:szCs w:val="22"/>
        </w:rPr>
        <w:t>Board</w:t>
      </w:r>
      <w:r w:rsidRPr="003D632A">
        <w:rPr>
          <w:rFonts w:ascii="Lato" w:hAnsi="Lato"/>
          <w:sz w:val="22"/>
          <w:szCs w:val="22"/>
        </w:rPr>
        <w:t xml:space="preserve"> is content to deal with</w:t>
      </w:r>
      <w:r w:rsidR="002E6FC7" w:rsidRPr="003D632A">
        <w:rPr>
          <w:rFonts w:ascii="Lato" w:hAnsi="Lato"/>
          <w:sz w:val="22"/>
          <w:szCs w:val="22"/>
        </w:rPr>
        <w:t xml:space="preserve"> it in accordance with</w:t>
      </w:r>
      <w:r w:rsidR="00D14F8B" w:rsidRPr="003D632A">
        <w:rPr>
          <w:rFonts w:ascii="Lato" w:hAnsi="Lato"/>
          <w:sz w:val="22"/>
          <w:szCs w:val="22"/>
        </w:rPr>
        <w:t xml:space="preserve"> its ordinary</w:t>
      </w:r>
      <w:r w:rsidRPr="003D632A">
        <w:rPr>
          <w:rFonts w:ascii="Lato" w:hAnsi="Lato"/>
          <w:sz w:val="22"/>
          <w:szCs w:val="22"/>
        </w:rPr>
        <w:t xml:space="preserve"> meaning. Relevantly, the Macquarie Dictionary, </w:t>
      </w:r>
      <w:r w:rsidRPr="003D632A">
        <w:rPr>
          <w:rStyle w:val="FootnoteReference"/>
          <w:rFonts w:ascii="Lato" w:hAnsi="Lato"/>
          <w:sz w:val="22"/>
          <w:szCs w:val="22"/>
        </w:rPr>
        <w:footnoteReference w:id="12"/>
      </w:r>
      <w:r w:rsidRPr="003D632A">
        <w:rPr>
          <w:rFonts w:ascii="Lato" w:hAnsi="Lato"/>
          <w:sz w:val="22"/>
          <w:szCs w:val="22"/>
        </w:rPr>
        <w:t xml:space="preserve"> defines it as “</w:t>
      </w:r>
      <w:r w:rsidRPr="003D632A">
        <w:rPr>
          <w:rFonts w:ascii="Lato" w:hAnsi="Lato"/>
          <w:iCs/>
          <w:sz w:val="22"/>
          <w:szCs w:val="22"/>
        </w:rPr>
        <w:t>1. of little importance; trifling; insignificant; 2. Commonplace, ordinary.”</w:t>
      </w:r>
    </w:p>
    <w:p w14:paraId="10BEBA92" w14:textId="77777777" w:rsidR="00B162B1" w:rsidRPr="003D632A" w:rsidRDefault="00B162B1" w:rsidP="00B162B1">
      <w:pPr>
        <w:pStyle w:val="ListParagraph"/>
        <w:jc w:val="both"/>
        <w:rPr>
          <w:rFonts w:ascii="Lato" w:hAnsi="Lato"/>
          <w:iCs/>
          <w:sz w:val="22"/>
          <w:szCs w:val="22"/>
        </w:rPr>
      </w:pPr>
    </w:p>
    <w:p w14:paraId="60CD75C7" w14:textId="0F3C07A6" w:rsidR="00B162B1" w:rsidRPr="003D632A" w:rsidRDefault="00B162B1" w:rsidP="00B162B1">
      <w:pPr>
        <w:pStyle w:val="ListParagraph"/>
        <w:numPr>
          <w:ilvl w:val="0"/>
          <w:numId w:val="1"/>
        </w:numPr>
        <w:jc w:val="both"/>
        <w:rPr>
          <w:rFonts w:ascii="Lato" w:hAnsi="Lato"/>
          <w:sz w:val="22"/>
          <w:szCs w:val="22"/>
        </w:rPr>
      </w:pPr>
      <w:r w:rsidRPr="003D632A">
        <w:rPr>
          <w:rFonts w:ascii="Lato" w:hAnsi="Lato"/>
          <w:sz w:val="22"/>
          <w:szCs w:val="22"/>
        </w:rPr>
        <w:t>The subjective features or background of the applicant are not the subject of s</w:t>
      </w:r>
      <w:r w:rsidR="005B7D11" w:rsidRPr="003D632A">
        <w:rPr>
          <w:rFonts w:ascii="Lato" w:hAnsi="Lato"/>
          <w:sz w:val="22"/>
          <w:szCs w:val="22"/>
        </w:rPr>
        <w:t>ection</w:t>
      </w:r>
      <w:r w:rsidRPr="003D632A">
        <w:rPr>
          <w:rFonts w:ascii="Lato" w:hAnsi="Lato"/>
          <w:sz w:val="22"/>
          <w:szCs w:val="22"/>
        </w:rPr>
        <w:t xml:space="preserve"> 20 (3)(b), which refers to the act (or omission) constituting the offence. In other words, it focuses upon the objective nature of the offending conduct. </w:t>
      </w:r>
    </w:p>
    <w:p w14:paraId="2ACD8B48" w14:textId="68B2A395" w:rsidR="00D47B9E" w:rsidRPr="003D632A" w:rsidRDefault="00D47B9E" w:rsidP="00B162B1">
      <w:pPr>
        <w:jc w:val="both"/>
        <w:rPr>
          <w:rFonts w:ascii="Lato" w:hAnsi="Lato"/>
          <w:i/>
          <w:iCs/>
          <w:sz w:val="22"/>
          <w:szCs w:val="22"/>
        </w:rPr>
      </w:pPr>
    </w:p>
    <w:p w14:paraId="22B66D06" w14:textId="569F76A9" w:rsidR="00B162B1" w:rsidRPr="003D632A" w:rsidRDefault="00B162B1" w:rsidP="00B162B1">
      <w:pPr>
        <w:ind w:left="720"/>
        <w:jc w:val="both"/>
        <w:rPr>
          <w:rFonts w:ascii="Lato" w:hAnsi="Lato"/>
          <w:b/>
          <w:bCs/>
          <w:i/>
          <w:iCs/>
          <w:sz w:val="22"/>
          <w:szCs w:val="22"/>
        </w:rPr>
      </w:pPr>
      <w:r w:rsidRPr="003D632A">
        <w:rPr>
          <w:rFonts w:ascii="Lato" w:hAnsi="Lato"/>
          <w:b/>
          <w:bCs/>
          <w:i/>
          <w:iCs/>
          <w:sz w:val="22"/>
          <w:szCs w:val="22"/>
        </w:rPr>
        <w:t>Non-application of temporal factor</w:t>
      </w:r>
    </w:p>
    <w:p w14:paraId="389210E8" w14:textId="77777777" w:rsidR="00B162B1" w:rsidRPr="003D632A" w:rsidRDefault="00B162B1" w:rsidP="00B162B1">
      <w:pPr>
        <w:ind w:left="720"/>
        <w:jc w:val="both"/>
        <w:rPr>
          <w:rFonts w:ascii="Lato" w:hAnsi="Lato"/>
          <w:i/>
          <w:iCs/>
          <w:sz w:val="22"/>
          <w:szCs w:val="22"/>
        </w:rPr>
      </w:pPr>
    </w:p>
    <w:p w14:paraId="23DD39EB" w14:textId="38E7EE6E" w:rsidR="0029308E" w:rsidRPr="003D632A" w:rsidRDefault="0042154D" w:rsidP="00B162B1">
      <w:pPr>
        <w:pStyle w:val="ListParagraph"/>
        <w:numPr>
          <w:ilvl w:val="0"/>
          <w:numId w:val="1"/>
        </w:numPr>
        <w:jc w:val="both"/>
        <w:rPr>
          <w:rFonts w:ascii="Lato" w:hAnsi="Lato"/>
          <w:sz w:val="22"/>
          <w:szCs w:val="22"/>
        </w:rPr>
      </w:pPr>
      <w:r w:rsidRPr="003D632A">
        <w:rPr>
          <w:rFonts w:ascii="Lato" w:hAnsi="Lato"/>
          <w:sz w:val="22"/>
          <w:szCs w:val="22"/>
        </w:rPr>
        <w:t xml:space="preserve">Section 20 (3) </w:t>
      </w:r>
      <w:r w:rsidR="003E078A" w:rsidRPr="003D632A">
        <w:rPr>
          <w:rFonts w:ascii="Lato" w:hAnsi="Lato"/>
          <w:sz w:val="22"/>
          <w:szCs w:val="22"/>
        </w:rPr>
        <w:t>states that the</w:t>
      </w:r>
      <w:r w:rsidR="0091673A" w:rsidRPr="003D632A">
        <w:rPr>
          <w:rFonts w:ascii="Lato" w:hAnsi="Lato"/>
          <w:sz w:val="22"/>
          <w:szCs w:val="22"/>
        </w:rPr>
        <w:t xml:space="preserve"> Board may determine that an offence referred to in subsection (2)(a) </w:t>
      </w:r>
      <w:r w:rsidR="003E078A" w:rsidRPr="003D632A">
        <w:rPr>
          <w:rFonts w:ascii="Lato" w:hAnsi="Lato"/>
          <w:sz w:val="22"/>
          <w:szCs w:val="22"/>
        </w:rPr>
        <w:t xml:space="preserve">is </w:t>
      </w:r>
      <w:r w:rsidR="0091673A" w:rsidRPr="003D632A">
        <w:rPr>
          <w:rFonts w:ascii="Lato" w:hAnsi="Lato"/>
          <w:sz w:val="22"/>
          <w:szCs w:val="22"/>
        </w:rPr>
        <w:t xml:space="preserve">not </w:t>
      </w:r>
      <w:r w:rsidR="003E078A" w:rsidRPr="003D632A">
        <w:rPr>
          <w:rFonts w:ascii="Lato" w:hAnsi="Lato"/>
          <w:sz w:val="22"/>
          <w:szCs w:val="22"/>
        </w:rPr>
        <w:t xml:space="preserve">to be </w:t>
      </w:r>
      <w:r w:rsidR="0091673A" w:rsidRPr="003D632A">
        <w:rPr>
          <w:rFonts w:ascii="Lato" w:hAnsi="Lato"/>
          <w:sz w:val="22"/>
          <w:szCs w:val="22"/>
        </w:rPr>
        <w:t xml:space="preserve">taken account </w:t>
      </w:r>
      <w:r w:rsidR="003E078A" w:rsidRPr="003D632A">
        <w:rPr>
          <w:rFonts w:ascii="Lato" w:hAnsi="Lato"/>
          <w:sz w:val="22"/>
          <w:szCs w:val="22"/>
        </w:rPr>
        <w:t xml:space="preserve">for the purposes of this section </w:t>
      </w:r>
      <w:r w:rsidR="00F43D84" w:rsidRPr="003D632A">
        <w:rPr>
          <w:rFonts w:ascii="Lato" w:hAnsi="Lato"/>
          <w:sz w:val="22"/>
          <w:szCs w:val="22"/>
        </w:rPr>
        <w:t xml:space="preserve">for two reasons, one of which is </w:t>
      </w:r>
      <w:r w:rsidR="00A36199" w:rsidRPr="003D632A">
        <w:rPr>
          <w:rFonts w:ascii="Lato" w:hAnsi="Lato"/>
          <w:sz w:val="22"/>
          <w:szCs w:val="22"/>
        </w:rPr>
        <w:t>because of</w:t>
      </w:r>
      <w:r w:rsidR="0091673A" w:rsidRPr="003D632A">
        <w:rPr>
          <w:rFonts w:ascii="Lato" w:hAnsi="Lato"/>
          <w:sz w:val="22"/>
          <w:szCs w:val="22"/>
        </w:rPr>
        <w:t xml:space="preserve"> the time that has passed since the offence was committed</w:t>
      </w:r>
      <w:r w:rsidR="00F43D84" w:rsidRPr="003D632A">
        <w:rPr>
          <w:rFonts w:ascii="Lato" w:hAnsi="Lato"/>
          <w:sz w:val="22"/>
          <w:szCs w:val="22"/>
        </w:rPr>
        <w:t xml:space="preserve">. </w:t>
      </w:r>
      <w:r w:rsidR="009F5604" w:rsidRPr="003D632A">
        <w:rPr>
          <w:rFonts w:ascii="Lato" w:hAnsi="Lato"/>
          <w:sz w:val="22"/>
          <w:szCs w:val="22"/>
        </w:rPr>
        <w:t>Given that it is less than a year since the offending</w:t>
      </w:r>
      <w:r w:rsidR="0091673A" w:rsidRPr="003D632A">
        <w:rPr>
          <w:rFonts w:ascii="Lato" w:hAnsi="Lato"/>
          <w:sz w:val="22"/>
          <w:szCs w:val="22"/>
        </w:rPr>
        <w:t xml:space="preserve"> occurred</w:t>
      </w:r>
      <w:r w:rsidR="009F5604" w:rsidRPr="003D632A">
        <w:rPr>
          <w:rFonts w:ascii="Lato" w:hAnsi="Lato"/>
          <w:sz w:val="22"/>
          <w:szCs w:val="22"/>
        </w:rPr>
        <w:t>, t</w:t>
      </w:r>
      <w:r w:rsidRPr="003D632A">
        <w:rPr>
          <w:rFonts w:ascii="Lato" w:hAnsi="Lato"/>
          <w:sz w:val="22"/>
          <w:szCs w:val="22"/>
        </w:rPr>
        <w:t xml:space="preserve">here is no </w:t>
      </w:r>
      <w:r w:rsidR="00723A87" w:rsidRPr="003D632A">
        <w:rPr>
          <w:rFonts w:ascii="Lato" w:hAnsi="Lato"/>
          <w:sz w:val="22"/>
          <w:szCs w:val="22"/>
        </w:rPr>
        <w:t xml:space="preserve">basis for </w:t>
      </w:r>
      <w:r w:rsidR="00313178" w:rsidRPr="003D632A">
        <w:rPr>
          <w:rFonts w:ascii="Lato" w:hAnsi="Lato"/>
          <w:sz w:val="22"/>
          <w:szCs w:val="22"/>
        </w:rPr>
        <w:t>finding</w:t>
      </w:r>
      <w:r w:rsidRPr="003D632A">
        <w:rPr>
          <w:rFonts w:ascii="Lato" w:hAnsi="Lato"/>
          <w:sz w:val="22"/>
          <w:szCs w:val="22"/>
        </w:rPr>
        <w:t xml:space="preserve"> </w:t>
      </w:r>
      <w:r w:rsidR="009F5604" w:rsidRPr="003D632A">
        <w:rPr>
          <w:rFonts w:ascii="Lato" w:hAnsi="Lato"/>
          <w:sz w:val="22"/>
          <w:szCs w:val="22"/>
        </w:rPr>
        <w:t xml:space="preserve">that sufficient time has passed </w:t>
      </w:r>
      <w:r w:rsidR="00313178" w:rsidRPr="003D632A">
        <w:rPr>
          <w:rFonts w:ascii="Lato" w:hAnsi="Lato"/>
          <w:sz w:val="22"/>
          <w:szCs w:val="22"/>
        </w:rPr>
        <w:t xml:space="preserve">to permit the Board to discard the offence due to </w:t>
      </w:r>
      <w:r w:rsidR="009F5604" w:rsidRPr="003D632A">
        <w:rPr>
          <w:rFonts w:ascii="Lato" w:hAnsi="Lato"/>
          <w:sz w:val="22"/>
          <w:szCs w:val="22"/>
        </w:rPr>
        <w:t xml:space="preserve">section 20 (3)(a). </w:t>
      </w:r>
      <w:r w:rsidR="004F666A" w:rsidRPr="003D632A">
        <w:rPr>
          <w:rFonts w:ascii="Lato" w:hAnsi="Lato"/>
          <w:sz w:val="22"/>
          <w:szCs w:val="22"/>
        </w:rPr>
        <w:t>Further</w:t>
      </w:r>
      <w:r w:rsidR="009F5604" w:rsidRPr="003D632A">
        <w:rPr>
          <w:rFonts w:ascii="Lato" w:hAnsi="Lato"/>
          <w:sz w:val="22"/>
          <w:szCs w:val="22"/>
        </w:rPr>
        <w:t xml:space="preserve">, Mr Secondis </w:t>
      </w:r>
      <w:r w:rsidR="00633A95" w:rsidRPr="003D632A">
        <w:rPr>
          <w:rFonts w:ascii="Lato" w:hAnsi="Lato"/>
          <w:sz w:val="22"/>
          <w:szCs w:val="22"/>
        </w:rPr>
        <w:t>is still</w:t>
      </w:r>
      <w:r w:rsidR="009F5604" w:rsidRPr="003D632A">
        <w:rPr>
          <w:rFonts w:ascii="Lato" w:hAnsi="Lato"/>
          <w:sz w:val="22"/>
          <w:szCs w:val="22"/>
        </w:rPr>
        <w:t xml:space="preserve"> bound by the Court’s decision.</w:t>
      </w:r>
    </w:p>
    <w:p w14:paraId="076A8FF1" w14:textId="77777777" w:rsidR="0029308E" w:rsidRPr="003D632A" w:rsidRDefault="0029308E" w:rsidP="0042154D">
      <w:pPr>
        <w:pStyle w:val="ListParagraph"/>
        <w:rPr>
          <w:rFonts w:ascii="Lato" w:hAnsi="Lato"/>
          <w:sz w:val="22"/>
          <w:szCs w:val="22"/>
        </w:rPr>
      </w:pPr>
    </w:p>
    <w:p w14:paraId="1FA44521" w14:textId="6CA44746" w:rsidR="0029308E" w:rsidRPr="003D632A" w:rsidRDefault="0029308E" w:rsidP="0042154D">
      <w:pPr>
        <w:pStyle w:val="ListParagraph"/>
        <w:rPr>
          <w:rFonts w:ascii="Lato" w:hAnsi="Lato"/>
          <w:b/>
          <w:bCs/>
          <w:i/>
          <w:iCs/>
          <w:sz w:val="22"/>
          <w:szCs w:val="22"/>
        </w:rPr>
      </w:pPr>
      <w:r w:rsidRPr="003D632A">
        <w:rPr>
          <w:rFonts w:ascii="Lato" w:hAnsi="Lato"/>
          <w:b/>
          <w:bCs/>
          <w:i/>
          <w:iCs/>
          <w:sz w:val="22"/>
          <w:szCs w:val="22"/>
        </w:rPr>
        <w:t>The findings that the conduct was not trivial</w:t>
      </w:r>
    </w:p>
    <w:p w14:paraId="774C16C5" w14:textId="77777777" w:rsidR="0029308E" w:rsidRPr="003D632A" w:rsidRDefault="0029308E" w:rsidP="0042154D">
      <w:pPr>
        <w:pStyle w:val="ListParagraph"/>
        <w:rPr>
          <w:rFonts w:ascii="Lato" w:hAnsi="Lato"/>
          <w:sz w:val="22"/>
          <w:szCs w:val="22"/>
        </w:rPr>
      </w:pPr>
    </w:p>
    <w:p w14:paraId="6C93ABC0" w14:textId="4085F89A" w:rsidR="002D79E1" w:rsidRPr="003D632A" w:rsidRDefault="00A706AB" w:rsidP="002D79E1">
      <w:pPr>
        <w:pStyle w:val="ListParagraph"/>
        <w:numPr>
          <w:ilvl w:val="0"/>
          <w:numId w:val="1"/>
        </w:numPr>
        <w:jc w:val="both"/>
        <w:rPr>
          <w:rFonts w:ascii="Lato" w:hAnsi="Lato"/>
          <w:sz w:val="22"/>
          <w:szCs w:val="22"/>
        </w:rPr>
      </w:pPr>
      <w:r w:rsidRPr="003D632A">
        <w:rPr>
          <w:rFonts w:ascii="Lato" w:hAnsi="Lato"/>
          <w:sz w:val="22"/>
          <w:szCs w:val="22"/>
        </w:rPr>
        <w:t>In respect of any argument that the offending was “trivial” t</w:t>
      </w:r>
      <w:r w:rsidR="00D47B9E" w:rsidRPr="003D632A">
        <w:rPr>
          <w:rFonts w:ascii="Lato" w:hAnsi="Lato"/>
          <w:sz w:val="22"/>
          <w:szCs w:val="22"/>
        </w:rPr>
        <w:t xml:space="preserve">he following features of the </w:t>
      </w:r>
      <w:r w:rsidR="00A57B16" w:rsidRPr="003D632A">
        <w:rPr>
          <w:rFonts w:ascii="Lato" w:hAnsi="Lato"/>
          <w:sz w:val="22"/>
          <w:szCs w:val="22"/>
        </w:rPr>
        <w:t>acts constituting the offence</w:t>
      </w:r>
      <w:r w:rsidR="00D47B9E" w:rsidRPr="003D632A">
        <w:rPr>
          <w:rFonts w:ascii="Lato" w:hAnsi="Lato"/>
          <w:sz w:val="22"/>
          <w:szCs w:val="22"/>
        </w:rPr>
        <w:t xml:space="preserve"> indicate that the offending conduct was not trivial:</w:t>
      </w:r>
    </w:p>
    <w:p w14:paraId="574ADB3F" w14:textId="77777777" w:rsidR="00D47B9E" w:rsidRPr="003D632A" w:rsidRDefault="00D47B9E" w:rsidP="00D47B9E">
      <w:pPr>
        <w:pStyle w:val="ListParagraph"/>
        <w:rPr>
          <w:rFonts w:ascii="Lato" w:hAnsi="Lato"/>
          <w:sz w:val="22"/>
          <w:szCs w:val="22"/>
        </w:rPr>
      </w:pPr>
    </w:p>
    <w:p w14:paraId="5723FE75" w14:textId="6E689190" w:rsidR="00D47B9E" w:rsidRPr="003D632A" w:rsidRDefault="00D47B9E" w:rsidP="00D47B9E">
      <w:pPr>
        <w:pStyle w:val="ListParagraph"/>
        <w:numPr>
          <w:ilvl w:val="0"/>
          <w:numId w:val="8"/>
        </w:numPr>
        <w:jc w:val="both"/>
        <w:rPr>
          <w:rFonts w:ascii="Lato" w:hAnsi="Lato"/>
          <w:sz w:val="22"/>
          <w:szCs w:val="22"/>
        </w:rPr>
      </w:pPr>
      <w:r w:rsidRPr="003D632A">
        <w:rPr>
          <w:rFonts w:ascii="Lato" w:hAnsi="Lato"/>
          <w:sz w:val="22"/>
          <w:szCs w:val="22"/>
        </w:rPr>
        <w:t xml:space="preserve">The quantity involved was many times the </w:t>
      </w:r>
      <w:r w:rsidR="005074FF" w:rsidRPr="003D632A">
        <w:rPr>
          <w:rFonts w:ascii="Lato" w:hAnsi="Lato"/>
          <w:sz w:val="22"/>
          <w:szCs w:val="22"/>
        </w:rPr>
        <w:t>trafficable</w:t>
      </w:r>
      <w:r w:rsidRPr="003D632A">
        <w:rPr>
          <w:rFonts w:ascii="Lato" w:hAnsi="Lato"/>
          <w:sz w:val="22"/>
          <w:szCs w:val="22"/>
        </w:rPr>
        <w:t xml:space="preserve"> quantity for the drug;</w:t>
      </w:r>
    </w:p>
    <w:p w14:paraId="4F3D2DD1" w14:textId="15C13C2B" w:rsidR="00D47B9E" w:rsidRPr="003D632A" w:rsidRDefault="00D47B9E" w:rsidP="00D47B9E">
      <w:pPr>
        <w:pStyle w:val="ListParagraph"/>
        <w:numPr>
          <w:ilvl w:val="0"/>
          <w:numId w:val="8"/>
        </w:numPr>
        <w:jc w:val="both"/>
        <w:rPr>
          <w:rFonts w:ascii="Lato" w:hAnsi="Lato"/>
          <w:sz w:val="22"/>
          <w:szCs w:val="22"/>
        </w:rPr>
      </w:pPr>
      <w:r w:rsidRPr="003D632A">
        <w:rPr>
          <w:rFonts w:ascii="Lato" w:hAnsi="Lato"/>
          <w:sz w:val="22"/>
          <w:szCs w:val="22"/>
        </w:rPr>
        <w:t xml:space="preserve"> </w:t>
      </w:r>
      <w:r w:rsidR="00DF4CE6" w:rsidRPr="003D632A">
        <w:rPr>
          <w:rFonts w:ascii="Lato" w:hAnsi="Lato"/>
          <w:sz w:val="22"/>
          <w:szCs w:val="22"/>
        </w:rPr>
        <w:t>Multiple</w:t>
      </w:r>
      <w:r w:rsidRPr="003D632A">
        <w:rPr>
          <w:rFonts w:ascii="Lato" w:hAnsi="Lato"/>
          <w:sz w:val="22"/>
          <w:szCs w:val="22"/>
        </w:rPr>
        <w:t xml:space="preserve"> users of the drug </w:t>
      </w:r>
      <w:r w:rsidR="00D14F8B" w:rsidRPr="003D632A">
        <w:rPr>
          <w:rFonts w:ascii="Lato" w:hAnsi="Lato"/>
          <w:sz w:val="22"/>
          <w:szCs w:val="22"/>
        </w:rPr>
        <w:t xml:space="preserve">were </w:t>
      </w:r>
      <w:r w:rsidRPr="003D632A">
        <w:rPr>
          <w:rFonts w:ascii="Lato" w:hAnsi="Lato"/>
          <w:sz w:val="22"/>
          <w:szCs w:val="22"/>
        </w:rPr>
        <w:t>supplied by Mr Secondis</w:t>
      </w:r>
      <w:r w:rsidR="00A57B16" w:rsidRPr="003D632A">
        <w:rPr>
          <w:rFonts w:ascii="Lato" w:hAnsi="Lato"/>
          <w:sz w:val="22"/>
          <w:szCs w:val="22"/>
        </w:rPr>
        <w:t xml:space="preserve">, </w:t>
      </w:r>
      <w:r w:rsidR="002E6FC7" w:rsidRPr="003D632A">
        <w:rPr>
          <w:rFonts w:ascii="Lato" w:hAnsi="Lato"/>
          <w:sz w:val="22"/>
          <w:szCs w:val="22"/>
        </w:rPr>
        <w:t>(</w:t>
      </w:r>
      <w:r w:rsidR="00A57B16" w:rsidRPr="003D632A">
        <w:rPr>
          <w:rFonts w:ascii="Lato" w:hAnsi="Lato"/>
          <w:sz w:val="22"/>
          <w:szCs w:val="22"/>
        </w:rPr>
        <w:t>albeit not for commercial gain</w:t>
      </w:r>
      <w:r w:rsidR="002E6FC7" w:rsidRPr="003D632A">
        <w:rPr>
          <w:rFonts w:ascii="Lato" w:hAnsi="Lato"/>
          <w:sz w:val="22"/>
          <w:szCs w:val="22"/>
        </w:rPr>
        <w:t>)</w:t>
      </w:r>
      <w:r w:rsidR="00A57B16" w:rsidRPr="003D632A">
        <w:rPr>
          <w:rFonts w:ascii="Lato" w:hAnsi="Lato"/>
          <w:sz w:val="22"/>
          <w:szCs w:val="22"/>
        </w:rPr>
        <w:t>;</w:t>
      </w:r>
    </w:p>
    <w:p w14:paraId="42215F34" w14:textId="26FF271F" w:rsidR="00D47B9E" w:rsidRPr="003D632A" w:rsidRDefault="00D47B9E" w:rsidP="00D47B9E">
      <w:pPr>
        <w:pStyle w:val="ListParagraph"/>
        <w:numPr>
          <w:ilvl w:val="0"/>
          <w:numId w:val="8"/>
        </w:numPr>
        <w:jc w:val="both"/>
        <w:rPr>
          <w:rFonts w:ascii="Lato" w:hAnsi="Lato"/>
          <w:sz w:val="22"/>
          <w:szCs w:val="22"/>
        </w:rPr>
      </w:pPr>
      <w:r w:rsidRPr="003D632A">
        <w:rPr>
          <w:rFonts w:ascii="Lato" w:hAnsi="Lato"/>
          <w:sz w:val="22"/>
          <w:szCs w:val="22"/>
        </w:rPr>
        <w:t xml:space="preserve">Outsourcing of the drug </w:t>
      </w:r>
      <w:r w:rsidR="00D14F8B" w:rsidRPr="003D632A">
        <w:rPr>
          <w:rFonts w:ascii="Lato" w:hAnsi="Lato"/>
          <w:sz w:val="22"/>
          <w:szCs w:val="22"/>
        </w:rPr>
        <w:t xml:space="preserve">(by Mr Secondis) occurred </w:t>
      </w:r>
      <w:r w:rsidRPr="003D632A">
        <w:rPr>
          <w:rFonts w:ascii="Lato" w:hAnsi="Lato"/>
          <w:sz w:val="22"/>
          <w:szCs w:val="22"/>
        </w:rPr>
        <w:t xml:space="preserve">on behalf of others; </w:t>
      </w:r>
    </w:p>
    <w:p w14:paraId="555B7827" w14:textId="2E1A8D03" w:rsidR="00D47B9E" w:rsidRPr="003D632A" w:rsidRDefault="00D47B9E" w:rsidP="00D47B9E">
      <w:pPr>
        <w:pStyle w:val="ListParagraph"/>
        <w:numPr>
          <w:ilvl w:val="0"/>
          <w:numId w:val="8"/>
        </w:numPr>
        <w:jc w:val="both"/>
        <w:rPr>
          <w:rFonts w:ascii="Lato" w:hAnsi="Lato"/>
          <w:sz w:val="22"/>
          <w:szCs w:val="22"/>
        </w:rPr>
      </w:pPr>
      <w:r w:rsidRPr="003D632A">
        <w:rPr>
          <w:rFonts w:ascii="Lato" w:hAnsi="Lato"/>
          <w:sz w:val="22"/>
          <w:szCs w:val="22"/>
        </w:rPr>
        <w:t xml:space="preserve">The drug </w:t>
      </w:r>
      <w:r w:rsidR="00D14F8B" w:rsidRPr="003D632A">
        <w:rPr>
          <w:rFonts w:ascii="Lato" w:hAnsi="Lato"/>
          <w:sz w:val="22"/>
          <w:szCs w:val="22"/>
        </w:rPr>
        <w:t>w</w:t>
      </w:r>
      <w:r w:rsidRPr="003D632A">
        <w:rPr>
          <w:rFonts w:ascii="Lato" w:hAnsi="Lato"/>
          <w:sz w:val="22"/>
          <w:szCs w:val="22"/>
        </w:rPr>
        <w:t>as a schedule one drug;</w:t>
      </w:r>
    </w:p>
    <w:p w14:paraId="57E462ED" w14:textId="5AF259EB" w:rsidR="00D47B9E" w:rsidRPr="003D632A" w:rsidRDefault="002E6FC7" w:rsidP="00D47B9E">
      <w:pPr>
        <w:pStyle w:val="ListParagraph"/>
        <w:numPr>
          <w:ilvl w:val="0"/>
          <w:numId w:val="8"/>
        </w:numPr>
        <w:jc w:val="both"/>
        <w:rPr>
          <w:rFonts w:ascii="Lato" w:hAnsi="Lato"/>
          <w:sz w:val="22"/>
          <w:szCs w:val="22"/>
        </w:rPr>
      </w:pPr>
      <w:r w:rsidRPr="003D632A">
        <w:rPr>
          <w:rFonts w:ascii="Lato" w:hAnsi="Lato"/>
          <w:sz w:val="22"/>
          <w:szCs w:val="22"/>
        </w:rPr>
        <w:t xml:space="preserve">The offending was </w:t>
      </w:r>
      <w:r w:rsidR="00D14F8B" w:rsidRPr="003D632A">
        <w:rPr>
          <w:rFonts w:ascii="Lato" w:hAnsi="Lato"/>
          <w:sz w:val="22"/>
          <w:szCs w:val="22"/>
        </w:rPr>
        <w:t>not an isolated event or one-off offending, but rather r</w:t>
      </w:r>
      <w:r w:rsidR="00D47B9E" w:rsidRPr="003D632A">
        <w:rPr>
          <w:rFonts w:ascii="Lato" w:hAnsi="Lato"/>
          <w:sz w:val="22"/>
          <w:szCs w:val="22"/>
        </w:rPr>
        <w:t xml:space="preserve">epeat offending over a sustained </w:t>
      </w:r>
      <w:r w:rsidR="00DF4CE6" w:rsidRPr="003D632A">
        <w:rPr>
          <w:rFonts w:ascii="Lato" w:hAnsi="Lato"/>
          <w:sz w:val="22"/>
          <w:szCs w:val="22"/>
        </w:rPr>
        <w:t>period</w:t>
      </w:r>
      <w:r w:rsidRPr="003D632A">
        <w:rPr>
          <w:rFonts w:ascii="Lato" w:hAnsi="Lato"/>
          <w:sz w:val="22"/>
          <w:szCs w:val="22"/>
        </w:rPr>
        <w:t xml:space="preserve"> (approx. 4 months);</w:t>
      </w:r>
    </w:p>
    <w:p w14:paraId="77DF3DD9" w14:textId="58144670" w:rsidR="00D47B9E" w:rsidRPr="003D632A" w:rsidRDefault="00D47B9E" w:rsidP="00D47B9E">
      <w:pPr>
        <w:pStyle w:val="ListParagraph"/>
        <w:numPr>
          <w:ilvl w:val="0"/>
          <w:numId w:val="8"/>
        </w:numPr>
        <w:jc w:val="both"/>
        <w:rPr>
          <w:rFonts w:ascii="Lato" w:hAnsi="Lato"/>
          <w:sz w:val="22"/>
          <w:szCs w:val="22"/>
        </w:rPr>
      </w:pPr>
      <w:r w:rsidRPr="003D632A">
        <w:rPr>
          <w:rFonts w:ascii="Lato" w:hAnsi="Lato"/>
          <w:sz w:val="22"/>
          <w:szCs w:val="22"/>
        </w:rPr>
        <w:t xml:space="preserve"> </w:t>
      </w:r>
      <w:r w:rsidR="007A1ACD" w:rsidRPr="003D632A">
        <w:rPr>
          <w:rFonts w:ascii="Lato" w:hAnsi="Lato"/>
          <w:sz w:val="22"/>
          <w:szCs w:val="22"/>
        </w:rPr>
        <w:t>Mr Secondis was convicted of the offence</w:t>
      </w:r>
      <w:r w:rsidR="002E6FC7" w:rsidRPr="003D632A">
        <w:rPr>
          <w:rFonts w:ascii="Lato" w:hAnsi="Lato"/>
          <w:sz w:val="22"/>
          <w:szCs w:val="22"/>
        </w:rPr>
        <w:t xml:space="preserve"> in the Local Court </w:t>
      </w:r>
      <w:r w:rsidR="007A1ACD" w:rsidRPr="003D632A">
        <w:rPr>
          <w:rFonts w:ascii="Lato" w:hAnsi="Lato"/>
          <w:sz w:val="22"/>
          <w:szCs w:val="22"/>
        </w:rPr>
        <w:t xml:space="preserve">and a </w:t>
      </w:r>
      <w:r w:rsidRPr="003D632A">
        <w:rPr>
          <w:rFonts w:ascii="Lato" w:hAnsi="Lato"/>
          <w:sz w:val="22"/>
          <w:szCs w:val="22"/>
        </w:rPr>
        <w:t>suspended sentence of imprisonment</w:t>
      </w:r>
      <w:r w:rsidR="002E6FC7" w:rsidRPr="003D632A">
        <w:rPr>
          <w:rFonts w:ascii="Lato" w:hAnsi="Lato"/>
          <w:sz w:val="22"/>
          <w:szCs w:val="22"/>
        </w:rPr>
        <w:t xml:space="preserve"> imposed</w:t>
      </w:r>
      <w:r w:rsidRPr="003D632A">
        <w:rPr>
          <w:rFonts w:ascii="Lato" w:hAnsi="Lato"/>
          <w:sz w:val="22"/>
          <w:szCs w:val="22"/>
        </w:rPr>
        <w:t xml:space="preserve">, </w:t>
      </w:r>
      <w:r w:rsidR="002E6FC7" w:rsidRPr="003D632A">
        <w:rPr>
          <w:rFonts w:ascii="Lato" w:hAnsi="Lato"/>
          <w:sz w:val="22"/>
          <w:szCs w:val="22"/>
        </w:rPr>
        <w:t>(</w:t>
      </w:r>
      <w:r w:rsidRPr="003D632A">
        <w:rPr>
          <w:rFonts w:ascii="Lato" w:hAnsi="Lato"/>
          <w:sz w:val="22"/>
          <w:szCs w:val="22"/>
        </w:rPr>
        <w:t>albeit fully suspended</w:t>
      </w:r>
      <w:r w:rsidR="002E6FC7" w:rsidRPr="003D632A">
        <w:rPr>
          <w:rFonts w:ascii="Lato" w:hAnsi="Lato"/>
          <w:sz w:val="22"/>
          <w:szCs w:val="22"/>
        </w:rPr>
        <w:t>)</w:t>
      </w:r>
      <w:r w:rsidR="00D14F8B" w:rsidRPr="003D632A">
        <w:rPr>
          <w:rFonts w:ascii="Lato" w:hAnsi="Lato"/>
          <w:sz w:val="22"/>
          <w:szCs w:val="22"/>
        </w:rPr>
        <w:t>,</w:t>
      </w:r>
      <w:r w:rsidRPr="003D632A">
        <w:rPr>
          <w:rFonts w:ascii="Lato" w:hAnsi="Lato"/>
          <w:sz w:val="22"/>
          <w:szCs w:val="22"/>
        </w:rPr>
        <w:t xml:space="preserve"> </w:t>
      </w:r>
      <w:r w:rsidR="002E6FC7" w:rsidRPr="003D632A">
        <w:rPr>
          <w:rFonts w:ascii="Lato" w:hAnsi="Lato"/>
          <w:sz w:val="22"/>
          <w:szCs w:val="22"/>
        </w:rPr>
        <w:t>which</w:t>
      </w:r>
      <w:r w:rsidRPr="003D632A">
        <w:rPr>
          <w:rFonts w:ascii="Lato" w:hAnsi="Lato"/>
          <w:sz w:val="22"/>
          <w:szCs w:val="22"/>
        </w:rPr>
        <w:t xml:space="preserve"> </w:t>
      </w:r>
      <w:r w:rsidR="00D14F8B" w:rsidRPr="003D632A">
        <w:rPr>
          <w:rFonts w:ascii="Lato" w:hAnsi="Lato"/>
          <w:sz w:val="22"/>
          <w:szCs w:val="22"/>
        </w:rPr>
        <w:t xml:space="preserve">indicated the Court’s denunciation, inter alia, of </w:t>
      </w:r>
      <w:r w:rsidR="002E6FC7" w:rsidRPr="003D632A">
        <w:rPr>
          <w:rFonts w:ascii="Lato" w:hAnsi="Lato"/>
          <w:sz w:val="22"/>
          <w:szCs w:val="22"/>
        </w:rPr>
        <w:t>his</w:t>
      </w:r>
      <w:r w:rsidR="00D14F8B" w:rsidRPr="003D632A">
        <w:rPr>
          <w:rFonts w:ascii="Lato" w:hAnsi="Lato"/>
          <w:sz w:val="22"/>
          <w:szCs w:val="22"/>
        </w:rPr>
        <w:t xml:space="preserve"> conduct.</w:t>
      </w:r>
    </w:p>
    <w:p w14:paraId="36F14B7D" w14:textId="180D5876" w:rsidR="00D14F8B" w:rsidRPr="003D632A" w:rsidRDefault="00B34105" w:rsidP="00D14F8B">
      <w:pPr>
        <w:pStyle w:val="ListParagraph"/>
        <w:ind w:left="1080"/>
        <w:jc w:val="both"/>
        <w:rPr>
          <w:rFonts w:ascii="Lato" w:hAnsi="Lato"/>
          <w:sz w:val="22"/>
          <w:szCs w:val="22"/>
        </w:rPr>
      </w:pPr>
      <w:r>
        <w:rPr>
          <w:rFonts w:ascii="Lato" w:hAnsi="Lato"/>
          <w:sz w:val="22"/>
          <w:szCs w:val="22"/>
        </w:rPr>
        <w:br w:type="column"/>
      </w:r>
    </w:p>
    <w:p w14:paraId="16E5B598" w14:textId="0EE3A33F" w:rsidR="00D47B9E" w:rsidRPr="003D632A" w:rsidRDefault="00D14F8B" w:rsidP="00D47B9E">
      <w:pPr>
        <w:pStyle w:val="ListParagraph"/>
        <w:numPr>
          <w:ilvl w:val="0"/>
          <w:numId w:val="1"/>
        </w:numPr>
        <w:jc w:val="both"/>
        <w:rPr>
          <w:rFonts w:ascii="Lato" w:hAnsi="Lato"/>
          <w:sz w:val="22"/>
          <w:szCs w:val="22"/>
        </w:rPr>
      </w:pPr>
      <w:r w:rsidRPr="003D632A">
        <w:rPr>
          <w:rFonts w:ascii="Lato" w:hAnsi="Lato"/>
          <w:sz w:val="22"/>
          <w:szCs w:val="22"/>
        </w:rPr>
        <w:t>As the act (s) constituting the offence was/were not trivial, section 20 (3) (b) of the Act is not engaged. Accordingly, Mr Secondis is</w:t>
      </w:r>
      <w:r w:rsidR="00B4373F" w:rsidRPr="003D632A">
        <w:rPr>
          <w:rFonts w:ascii="Lato" w:hAnsi="Lato"/>
          <w:sz w:val="22"/>
          <w:szCs w:val="22"/>
        </w:rPr>
        <w:t>, under s 20 (2)</w:t>
      </w:r>
      <w:r w:rsidR="007A1ACD" w:rsidRPr="003D632A">
        <w:rPr>
          <w:rFonts w:ascii="Lato" w:hAnsi="Lato"/>
          <w:sz w:val="22"/>
          <w:szCs w:val="22"/>
        </w:rPr>
        <w:t>,</w:t>
      </w:r>
      <w:r w:rsidR="00B4373F" w:rsidRPr="003D632A">
        <w:rPr>
          <w:rFonts w:ascii="Lato" w:hAnsi="Lato"/>
          <w:sz w:val="22"/>
          <w:szCs w:val="22"/>
        </w:rPr>
        <w:t xml:space="preserve"> a disqualified person for the purposes of section 20 (1)(a) of the Act. It follows that under that under s</w:t>
      </w:r>
      <w:r w:rsidR="00936632" w:rsidRPr="003D632A">
        <w:rPr>
          <w:rFonts w:ascii="Lato" w:hAnsi="Lato"/>
          <w:sz w:val="22"/>
          <w:szCs w:val="22"/>
        </w:rPr>
        <w:t>ection</w:t>
      </w:r>
      <w:r w:rsidR="00B4373F" w:rsidRPr="003D632A">
        <w:rPr>
          <w:rFonts w:ascii="Lato" w:hAnsi="Lato"/>
          <w:sz w:val="22"/>
          <w:szCs w:val="22"/>
        </w:rPr>
        <w:t xml:space="preserve"> 20 (1) Mr Secondis is not a fit and proper person for the purposes, relevantly, of s</w:t>
      </w:r>
      <w:r w:rsidR="00936632" w:rsidRPr="003D632A">
        <w:rPr>
          <w:rFonts w:ascii="Lato" w:hAnsi="Lato"/>
          <w:sz w:val="22"/>
          <w:szCs w:val="22"/>
        </w:rPr>
        <w:t>ection</w:t>
      </w:r>
      <w:r w:rsidR="00B4373F" w:rsidRPr="003D632A">
        <w:rPr>
          <w:rFonts w:ascii="Lato" w:hAnsi="Lato"/>
          <w:sz w:val="22"/>
          <w:szCs w:val="22"/>
        </w:rPr>
        <w:t xml:space="preserve"> 22 of the Act.  Section 22 is the section that refers to Eligibility for a </w:t>
      </w:r>
      <w:r w:rsidR="00936632" w:rsidRPr="003D632A">
        <w:rPr>
          <w:rFonts w:ascii="Lato" w:hAnsi="Lato"/>
          <w:sz w:val="22"/>
          <w:szCs w:val="22"/>
        </w:rPr>
        <w:t>L</w:t>
      </w:r>
      <w:r w:rsidR="00B4373F" w:rsidRPr="003D632A">
        <w:rPr>
          <w:rFonts w:ascii="Lato" w:hAnsi="Lato"/>
          <w:sz w:val="22"/>
          <w:szCs w:val="22"/>
        </w:rPr>
        <w:t>icen</w:t>
      </w:r>
      <w:r w:rsidR="00A706AB" w:rsidRPr="003D632A">
        <w:rPr>
          <w:rFonts w:ascii="Lato" w:hAnsi="Lato"/>
          <w:sz w:val="22"/>
          <w:szCs w:val="22"/>
        </w:rPr>
        <w:t>c</w:t>
      </w:r>
      <w:r w:rsidR="00B4373F" w:rsidRPr="003D632A">
        <w:rPr>
          <w:rFonts w:ascii="Lato" w:hAnsi="Lato"/>
          <w:sz w:val="22"/>
          <w:szCs w:val="22"/>
        </w:rPr>
        <w:t>e. Therefore, Mr Secondis is not eligible for a licen</w:t>
      </w:r>
      <w:r w:rsidR="00A706AB" w:rsidRPr="003D632A">
        <w:rPr>
          <w:rFonts w:ascii="Lato" w:hAnsi="Lato"/>
          <w:sz w:val="22"/>
          <w:szCs w:val="22"/>
        </w:rPr>
        <w:t>c</w:t>
      </w:r>
      <w:r w:rsidR="00B4373F" w:rsidRPr="003D632A">
        <w:rPr>
          <w:rFonts w:ascii="Lato" w:hAnsi="Lato"/>
          <w:sz w:val="22"/>
          <w:szCs w:val="22"/>
        </w:rPr>
        <w:t xml:space="preserve">e. </w:t>
      </w:r>
      <w:r w:rsidR="0042154D" w:rsidRPr="003D632A">
        <w:rPr>
          <w:rFonts w:ascii="Lato" w:hAnsi="Lato"/>
          <w:sz w:val="22"/>
          <w:szCs w:val="22"/>
        </w:rPr>
        <w:t xml:space="preserve"> </w:t>
      </w:r>
    </w:p>
    <w:p w14:paraId="2DCB4821" w14:textId="6A9AE643" w:rsidR="002E6FC7" w:rsidRPr="003D632A" w:rsidRDefault="002E6FC7" w:rsidP="002E6FC7">
      <w:pPr>
        <w:ind w:left="360"/>
        <w:jc w:val="both"/>
        <w:rPr>
          <w:rFonts w:ascii="Lato" w:hAnsi="Lato"/>
          <w:sz w:val="22"/>
          <w:szCs w:val="22"/>
        </w:rPr>
      </w:pPr>
    </w:p>
    <w:p w14:paraId="53809518" w14:textId="6599D823" w:rsidR="002E6FC7" w:rsidRPr="003D632A" w:rsidRDefault="002E6FC7" w:rsidP="002E6FC7">
      <w:pPr>
        <w:ind w:left="360"/>
        <w:jc w:val="both"/>
        <w:rPr>
          <w:rFonts w:ascii="Lato" w:hAnsi="Lato"/>
          <w:b/>
          <w:bCs/>
          <w:i/>
          <w:iCs/>
          <w:sz w:val="22"/>
          <w:szCs w:val="22"/>
        </w:rPr>
      </w:pPr>
      <w:r w:rsidRPr="003D632A">
        <w:rPr>
          <w:rFonts w:ascii="Lato" w:hAnsi="Lato"/>
          <w:b/>
          <w:bCs/>
          <w:i/>
          <w:iCs/>
          <w:sz w:val="22"/>
          <w:szCs w:val="22"/>
        </w:rPr>
        <w:t xml:space="preserve">The </w:t>
      </w:r>
      <w:r w:rsidR="0029308E" w:rsidRPr="003D632A">
        <w:rPr>
          <w:rFonts w:ascii="Lato" w:hAnsi="Lato"/>
          <w:b/>
          <w:bCs/>
          <w:i/>
          <w:iCs/>
          <w:sz w:val="22"/>
          <w:szCs w:val="22"/>
        </w:rPr>
        <w:t>question of an exemption under s 5A of the Act</w:t>
      </w:r>
    </w:p>
    <w:p w14:paraId="34A0C1DD" w14:textId="163A119B" w:rsidR="002E6FC7" w:rsidRPr="003D632A" w:rsidRDefault="002E6FC7" w:rsidP="002E6FC7">
      <w:pPr>
        <w:ind w:left="360"/>
        <w:jc w:val="both"/>
        <w:rPr>
          <w:rFonts w:ascii="Lato" w:hAnsi="Lato"/>
          <w:b/>
          <w:bCs/>
          <w:i/>
          <w:iCs/>
          <w:sz w:val="22"/>
          <w:szCs w:val="22"/>
        </w:rPr>
      </w:pPr>
    </w:p>
    <w:p w14:paraId="6F5C0BF4" w14:textId="30F68BC1" w:rsidR="00780158" w:rsidRPr="003D632A" w:rsidRDefault="00780158" w:rsidP="00780158">
      <w:pPr>
        <w:pStyle w:val="ListParagraph"/>
        <w:numPr>
          <w:ilvl w:val="0"/>
          <w:numId w:val="1"/>
        </w:numPr>
        <w:jc w:val="both"/>
        <w:rPr>
          <w:rFonts w:ascii="Lato" w:hAnsi="Lato"/>
          <w:sz w:val="22"/>
          <w:szCs w:val="22"/>
        </w:rPr>
      </w:pPr>
      <w:r w:rsidRPr="003D632A">
        <w:rPr>
          <w:rFonts w:ascii="Lato" w:hAnsi="Lato"/>
          <w:sz w:val="22"/>
          <w:szCs w:val="22"/>
        </w:rPr>
        <w:t>Section 5A of the Act states:</w:t>
      </w:r>
    </w:p>
    <w:p w14:paraId="7D5C3836" w14:textId="68DB49AF" w:rsidR="00780158" w:rsidRPr="003D632A" w:rsidRDefault="00780158" w:rsidP="00780158">
      <w:pPr>
        <w:jc w:val="both"/>
        <w:rPr>
          <w:rFonts w:ascii="Lato" w:hAnsi="Lato"/>
          <w:sz w:val="22"/>
          <w:szCs w:val="22"/>
        </w:rPr>
      </w:pPr>
    </w:p>
    <w:p w14:paraId="6543EE5D" w14:textId="3D039761" w:rsidR="00780158" w:rsidRPr="003D632A" w:rsidRDefault="00780158" w:rsidP="00780158">
      <w:pPr>
        <w:ind w:left="1440"/>
        <w:jc w:val="both"/>
        <w:rPr>
          <w:rFonts w:ascii="Lato" w:hAnsi="Lato"/>
          <w:i/>
          <w:iCs/>
          <w:sz w:val="22"/>
          <w:szCs w:val="22"/>
        </w:rPr>
      </w:pPr>
      <w:r w:rsidRPr="003D632A">
        <w:rPr>
          <w:rFonts w:ascii="Lato" w:hAnsi="Lato"/>
          <w:i/>
          <w:iCs/>
          <w:sz w:val="22"/>
          <w:szCs w:val="22"/>
        </w:rPr>
        <w:t>The Board may, subject to any regulations made in that behalf, exempt any person of class of persons from compliance with all or any of the provisions of this Act and, if it thinks fit, make an exemption subject to the imposition of conditions.</w:t>
      </w:r>
    </w:p>
    <w:p w14:paraId="2966F815" w14:textId="6E47FD04" w:rsidR="002E6FC7" w:rsidRPr="003D632A" w:rsidRDefault="002E6FC7" w:rsidP="002E6FC7">
      <w:pPr>
        <w:ind w:left="360"/>
        <w:jc w:val="both"/>
        <w:rPr>
          <w:rFonts w:ascii="Lato" w:hAnsi="Lato"/>
          <w:sz w:val="22"/>
          <w:szCs w:val="22"/>
        </w:rPr>
      </w:pPr>
    </w:p>
    <w:p w14:paraId="5AC275EB" w14:textId="5712FCAC" w:rsidR="002E6FC7" w:rsidRPr="003D632A" w:rsidRDefault="00780158" w:rsidP="00780158">
      <w:pPr>
        <w:pStyle w:val="ListParagraph"/>
        <w:numPr>
          <w:ilvl w:val="0"/>
          <w:numId w:val="1"/>
        </w:numPr>
        <w:jc w:val="both"/>
        <w:rPr>
          <w:rFonts w:ascii="Lato" w:hAnsi="Lato"/>
          <w:sz w:val="22"/>
          <w:szCs w:val="22"/>
        </w:rPr>
      </w:pPr>
      <w:r w:rsidRPr="003D632A">
        <w:rPr>
          <w:rFonts w:ascii="Lato" w:hAnsi="Lato"/>
          <w:sz w:val="22"/>
          <w:szCs w:val="22"/>
        </w:rPr>
        <w:t>Section 5A is couched in broad terms. The criteria “if it thinks fit” does</w:t>
      </w:r>
      <w:r w:rsidR="009D1EBC" w:rsidRPr="003D632A">
        <w:rPr>
          <w:rFonts w:ascii="Lato" w:hAnsi="Lato"/>
          <w:sz w:val="22"/>
          <w:szCs w:val="22"/>
        </w:rPr>
        <w:t xml:space="preserve"> not specify any criteria to be employed in this regard. The Board takes into account all subjective matters put by Mr Bellach and Mr Secondis. That includes the following:</w:t>
      </w:r>
    </w:p>
    <w:p w14:paraId="0E744474" w14:textId="77777777" w:rsidR="00C91DC2" w:rsidRPr="003D632A" w:rsidRDefault="00C91DC2" w:rsidP="00C91DC2">
      <w:pPr>
        <w:pStyle w:val="ListParagraph"/>
        <w:jc w:val="both"/>
        <w:rPr>
          <w:rFonts w:ascii="Lato" w:hAnsi="Lato"/>
          <w:sz w:val="22"/>
          <w:szCs w:val="22"/>
        </w:rPr>
      </w:pPr>
    </w:p>
    <w:p w14:paraId="6A72B9D8" w14:textId="3B59DFEC" w:rsidR="009D1EBC" w:rsidRPr="003D632A" w:rsidRDefault="009D1EBC" w:rsidP="009D1EBC">
      <w:pPr>
        <w:pStyle w:val="ListParagraph"/>
        <w:numPr>
          <w:ilvl w:val="0"/>
          <w:numId w:val="10"/>
        </w:numPr>
        <w:jc w:val="both"/>
        <w:rPr>
          <w:rFonts w:ascii="Lato" w:hAnsi="Lato"/>
          <w:sz w:val="22"/>
          <w:szCs w:val="22"/>
        </w:rPr>
      </w:pPr>
      <w:r w:rsidRPr="003D632A">
        <w:rPr>
          <w:rFonts w:ascii="Lato" w:hAnsi="Lato"/>
          <w:sz w:val="22"/>
          <w:szCs w:val="22"/>
        </w:rPr>
        <w:t>The many references that speak</w:t>
      </w:r>
      <w:r w:rsidR="00AC604E" w:rsidRPr="003D632A">
        <w:rPr>
          <w:rFonts w:ascii="Lato" w:hAnsi="Lato"/>
          <w:sz w:val="22"/>
          <w:szCs w:val="22"/>
        </w:rPr>
        <w:t xml:space="preserve">, in a positive fashion, to Mr Secondis’ </w:t>
      </w:r>
      <w:r w:rsidRPr="003D632A">
        <w:rPr>
          <w:rFonts w:ascii="Lato" w:hAnsi="Lato"/>
          <w:sz w:val="22"/>
          <w:szCs w:val="22"/>
        </w:rPr>
        <w:t>character and also to his work on behalf of charities</w:t>
      </w:r>
      <w:r w:rsidR="0019698E" w:rsidRPr="003D632A">
        <w:rPr>
          <w:rFonts w:ascii="Lato" w:hAnsi="Lato"/>
          <w:sz w:val="22"/>
          <w:szCs w:val="22"/>
        </w:rPr>
        <w:t>,</w:t>
      </w:r>
    </w:p>
    <w:p w14:paraId="638179A6" w14:textId="08AE1A34" w:rsidR="009D1EBC" w:rsidRPr="003D632A" w:rsidRDefault="009D1EBC" w:rsidP="009D1EBC">
      <w:pPr>
        <w:pStyle w:val="ListParagraph"/>
        <w:numPr>
          <w:ilvl w:val="0"/>
          <w:numId w:val="10"/>
        </w:numPr>
        <w:jc w:val="both"/>
        <w:rPr>
          <w:rFonts w:ascii="Lato" w:hAnsi="Lato"/>
          <w:sz w:val="22"/>
          <w:szCs w:val="22"/>
        </w:rPr>
      </w:pPr>
      <w:r w:rsidRPr="003D632A">
        <w:rPr>
          <w:rFonts w:ascii="Lato" w:hAnsi="Lato"/>
          <w:sz w:val="22"/>
          <w:szCs w:val="22"/>
        </w:rPr>
        <w:t>His age and that fact that he has no prior offences</w:t>
      </w:r>
      <w:r w:rsidR="00AC604E" w:rsidRPr="003D632A">
        <w:rPr>
          <w:rFonts w:ascii="Lato" w:hAnsi="Lato"/>
          <w:sz w:val="22"/>
          <w:szCs w:val="22"/>
        </w:rPr>
        <w:t xml:space="preserve"> (prior to the present offence),</w:t>
      </w:r>
    </w:p>
    <w:p w14:paraId="771DE9A1" w14:textId="7E079644" w:rsidR="009D1EBC" w:rsidRPr="003D632A" w:rsidRDefault="009D1EBC" w:rsidP="009D1EBC">
      <w:pPr>
        <w:pStyle w:val="ListParagraph"/>
        <w:numPr>
          <w:ilvl w:val="0"/>
          <w:numId w:val="10"/>
        </w:numPr>
        <w:jc w:val="both"/>
        <w:rPr>
          <w:rFonts w:ascii="Lato" w:hAnsi="Lato"/>
          <w:sz w:val="22"/>
          <w:szCs w:val="22"/>
        </w:rPr>
      </w:pPr>
      <w:r w:rsidRPr="003D632A">
        <w:rPr>
          <w:rFonts w:ascii="Lato" w:hAnsi="Lato"/>
          <w:sz w:val="22"/>
          <w:szCs w:val="22"/>
        </w:rPr>
        <w:t>His previous</w:t>
      </w:r>
      <w:r w:rsidR="00F75197" w:rsidRPr="003D632A">
        <w:rPr>
          <w:rFonts w:ascii="Lato" w:hAnsi="Lato"/>
          <w:sz w:val="22"/>
          <w:szCs w:val="22"/>
        </w:rPr>
        <w:t xml:space="preserve"> work for many years in a productive </w:t>
      </w:r>
      <w:r w:rsidR="00AC604E" w:rsidRPr="003D632A">
        <w:rPr>
          <w:rFonts w:ascii="Lato" w:hAnsi="Lato"/>
          <w:sz w:val="22"/>
          <w:szCs w:val="22"/>
        </w:rPr>
        <w:t xml:space="preserve">and successful </w:t>
      </w:r>
      <w:r w:rsidR="00F75197" w:rsidRPr="003D632A">
        <w:rPr>
          <w:rFonts w:ascii="Lato" w:hAnsi="Lato"/>
          <w:sz w:val="22"/>
          <w:szCs w:val="22"/>
        </w:rPr>
        <w:t>capacity in the industry</w:t>
      </w:r>
      <w:r w:rsidR="0019698E" w:rsidRPr="003D632A">
        <w:rPr>
          <w:rFonts w:ascii="Lato" w:hAnsi="Lato"/>
          <w:sz w:val="22"/>
          <w:szCs w:val="22"/>
        </w:rPr>
        <w:t>,</w:t>
      </w:r>
    </w:p>
    <w:p w14:paraId="24B69BF3" w14:textId="4CFC49FC" w:rsidR="00F75197" w:rsidRPr="003D632A" w:rsidRDefault="00F75197" w:rsidP="009D1EBC">
      <w:pPr>
        <w:pStyle w:val="ListParagraph"/>
        <w:numPr>
          <w:ilvl w:val="0"/>
          <w:numId w:val="10"/>
        </w:numPr>
        <w:jc w:val="both"/>
        <w:rPr>
          <w:rFonts w:ascii="Lato" w:hAnsi="Lato"/>
          <w:sz w:val="22"/>
          <w:szCs w:val="22"/>
        </w:rPr>
      </w:pPr>
      <w:r w:rsidRPr="003D632A">
        <w:rPr>
          <w:rFonts w:ascii="Lato" w:hAnsi="Lato"/>
          <w:sz w:val="22"/>
          <w:szCs w:val="22"/>
        </w:rPr>
        <w:t xml:space="preserve">His </w:t>
      </w:r>
      <w:r w:rsidR="004660CA" w:rsidRPr="003D632A">
        <w:rPr>
          <w:rFonts w:ascii="Lato" w:hAnsi="Lato"/>
          <w:sz w:val="22"/>
          <w:szCs w:val="22"/>
        </w:rPr>
        <w:t>successful application</w:t>
      </w:r>
      <w:r w:rsidRPr="003D632A">
        <w:rPr>
          <w:rFonts w:ascii="Lato" w:hAnsi="Lato"/>
          <w:sz w:val="22"/>
          <w:szCs w:val="22"/>
        </w:rPr>
        <w:t xml:space="preserve">, prior to the </w:t>
      </w:r>
      <w:r w:rsidR="004660CA" w:rsidRPr="003D632A">
        <w:rPr>
          <w:rFonts w:ascii="Lato" w:hAnsi="Lato"/>
          <w:sz w:val="22"/>
          <w:szCs w:val="22"/>
        </w:rPr>
        <w:t xml:space="preserve">conviction and sentence in the Local Court, </w:t>
      </w:r>
      <w:r w:rsidR="00521E35" w:rsidRPr="003D632A">
        <w:rPr>
          <w:rFonts w:ascii="Lato" w:hAnsi="Lato"/>
          <w:sz w:val="22"/>
          <w:szCs w:val="22"/>
        </w:rPr>
        <w:t xml:space="preserve">for </w:t>
      </w:r>
      <w:r w:rsidR="004660CA" w:rsidRPr="003D632A">
        <w:rPr>
          <w:rFonts w:ascii="Lato" w:hAnsi="Lato"/>
          <w:sz w:val="22"/>
          <w:szCs w:val="22"/>
        </w:rPr>
        <w:t>an Auctioneer</w:t>
      </w:r>
      <w:r w:rsidR="008462C8" w:rsidRPr="003D632A">
        <w:rPr>
          <w:rFonts w:ascii="Lato" w:hAnsi="Lato"/>
          <w:sz w:val="22"/>
          <w:szCs w:val="22"/>
        </w:rPr>
        <w:t xml:space="preserve">’s </w:t>
      </w:r>
      <w:r w:rsidR="004660CA" w:rsidRPr="003D632A">
        <w:rPr>
          <w:rFonts w:ascii="Lato" w:hAnsi="Lato"/>
          <w:sz w:val="22"/>
          <w:szCs w:val="22"/>
        </w:rPr>
        <w:t>licen</w:t>
      </w:r>
      <w:r w:rsidR="00D3243E" w:rsidRPr="003D632A">
        <w:rPr>
          <w:rFonts w:ascii="Lato" w:hAnsi="Lato"/>
          <w:sz w:val="22"/>
          <w:szCs w:val="22"/>
        </w:rPr>
        <w:t>c</w:t>
      </w:r>
      <w:r w:rsidR="004660CA" w:rsidRPr="003D632A">
        <w:rPr>
          <w:rFonts w:ascii="Lato" w:hAnsi="Lato"/>
          <w:sz w:val="22"/>
          <w:szCs w:val="22"/>
        </w:rPr>
        <w:t>e</w:t>
      </w:r>
      <w:r w:rsidR="0019698E" w:rsidRPr="003D632A">
        <w:rPr>
          <w:rFonts w:ascii="Lato" w:hAnsi="Lato"/>
          <w:sz w:val="22"/>
          <w:szCs w:val="22"/>
        </w:rPr>
        <w:t>,</w:t>
      </w:r>
    </w:p>
    <w:p w14:paraId="7C710AFC" w14:textId="0FAB246D" w:rsidR="0019698E" w:rsidRPr="003D632A" w:rsidRDefault="0019698E" w:rsidP="009D1EBC">
      <w:pPr>
        <w:pStyle w:val="ListParagraph"/>
        <w:numPr>
          <w:ilvl w:val="0"/>
          <w:numId w:val="10"/>
        </w:numPr>
        <w:jc w:val="both"/>
        <w:rPr>
          <w:rFonts w:ascii="Lato" w:hAnsi="Lato"/>
          <w:sz w:val="22"/>
          <w:szCs w:val="22"/>
        </w:rPr>
      </w:pPr>
      <w:r w:rsidRPr="003D632A">
        <w:rPr>
          <w:rFonts w:ascii="Lato" w:hAnsi="Lato"/>
          <w:sz w:val="22"/>
          <w:szCs w:val="22"/>
        </w:rPr>
        <w:t>the effect of the loss of his real estate licen</w:t>
      </w:r>
      <w:r w:rsidR="00D3243E" w:rsidRPr="003D632A">
        <w:rPr>
          <w:rFonts w:ascii="Lato" w:hAnsi="Lato"/>
          <w:sz w:val="22"/>
          <w:szCs w:val="22"/>
        </w:rPr>
        <w:t>c</w:t>
      </w:r>
      <w:r w:rsidRPr="003D632A">
        <w:rPr>
          <w:rFonts w:ascii="Lato" w:hAnsi="Lato"/>
          <w:sz w:val="22"/>
          <w:szCs w:val="22"/>
        </w:rPr>
        <w:t>e upon him,</w:t>
      </w:r>
      <w:r w:rsidR="00521E35" w:rsidRPr="003D632A">
        <w:rPr>
          <w:rFonts w:ascii="Lato" w:hAnsi="Lato"/>
          <w:sz w:val="22"/>
          <w:szCs w:val="22"/>
        </w:rPr>
        <w:t xml:space="preserve"> </w:t>
      </w:r>
    </w:p>
    <w:p w14:paraId="4DC2FAFD" w14:textId="6B65E047" w:rsidR="0019698E" w:rsidRPr="003D632A" w:rsidRDefault="0019698E" w:rsidP="009D1EBC">
      <w:pPr>
        <w:pStyle w:val="ListParagraph"/>
        <w:numPr>
          <w:ilvl w:val="0"/>
          <w:numId w:val="10"/>
        </w:numPr>
        <w:jc w:val="both"/>
        <w:rPr>
          <w:rFonts w:ascii="Lato" w:hAnsi="Lato"/>
          <w:sz w:val="22"/>
          <w:szCs w:val="22"/>
        </w:rPr>
      </w:pPr>
      <w:r w:rsidRPr="003D632A">
        <w:rPr>
          <w:rFonts w:ascii="Lato" w:hAnsi="Lato"/>
          <w:sz w:val="22"/>
          <w:szCs w:val="22"/>
        </w:rPr>
        <w:t>his difficulties in obtaining alter</w:t>
      </w:r>
      <w:r w:rsidR="008462C8" w:rsidRPr="003D632A">
        <w:rPr>
          <w:rFonts w:ascii="Lato" w:hAnsi="Lato"/>
          <w:sz w:val="22"/>
          <w:szCs w:val="22"/>
        </w:rPr>
        <w:t>native</w:t>
      </w:r>
      <w:r w:rsidRPr="003D632A">
        <w:rPr>
          <w:rFonts w:ascii="Lato" w:hAnsi="Lato"/>
          <w:sz w:val="22"/>
          <w:szCs w:val="22"/>
        </w:rPr>
        <w:t xml:space="preserve"> work outside the industry, with consequent financial hardship,</w:t>
      </w:r>
    </w:p>
    <w:p w14:paraId="046C2EF0" w14:textId="38925728" w:rsidR="0019698E" w:rsidRPr="003D632A" w:rsidRDefault="0019698E" w:rsidP="009D1EBC">
      <w:pPr>
        <w:pStyle w:val="ListParagraph"/>
        <w:numPr>
          <w:ilvl w:val="0"/>
          <w:numId w:val="10"/>
        </w:numPr>
        <w:jc w:val="both"/>
        <w:rPr>
          <w:rFonts w:ascii="Lato" w:hAnsi="Lato"/>
          <w:sz w:val="22"/>
          <w:szCs w:val="22"/>
        </w:rPr>
      </w:pPr>
      <w:r w:rsidRPr="003D632A">
        <w:rPr>
          <w:rFonts w:ascii="Lato" w:hAnsi="Lato"/>
          <w:sz w:val="22"/>
          <w:szCs w:val="22"/>
        </w:rPr>
        <w:t>the embarrassment caused to him by the publicity attendant upon his case, in the mass media,</w:t>
      </w:r>
    </w:p>
    <w:p w14:paraId="61266A3A" w14:textId="3E59EC78" w:rsidR="0019698E" w:rsidRPr="003D632A" w:rsidRDefault="008462C8" w:rsidP="009D1EBC">
      <w:pPr>
        <w:pStyle w:val="ListParagraph"/>
        <w:numPr>
          <w:ilvl w:val="0"/>
          <w:numId w:val="10"/>
        </w:numPr>
        <w:jc w:val="both"/>
        <w:rPr>
          <w:rFonts w:ascii="Lato" w:hAnsi="Lato"/>
          <w:sz w:val="22"/>
          <w:szCs w:val="22"/>
        </w:rPr>
      </w:pPr>
      <w:r w:rsidRPr="003D632A">
        <w:rPr>
          <w:rFonts w:ascii="Lato" w:hAnsi="Lato"/>
          <w:sz w:val="22"/>
          <w:szCs w:val="22"/>
        </w:rPr>
        <w:t>his expression of remorse for his conduct.</w:t>
      </w:r>
    </w:p>
    <w:p w14:paraId="1AD187FF" w14:textId="51BF2961" w:rsidR="008462C8" w:rsidRPr="003D632A" w:rsidRDefault="008462C8" w:rsidP="008462C8">
      <w:pPr>
        <w:jc w:val="both"/>
        <w:rPr>
          <w:rFonts w:ascii="Lato" w:hAnsi="Lato"/>
          <w:sz w:val="22"/>
          <w:szCs w:val="22"/>
        </w:rPr>
      </w:pPr>
    </w:p>
    <w:p w14:paraId="12AC5C8A" w14:textId="7966DB3E" w:rsidR="00DE46A7" w:rsidRDefault="008462C8" w:rsidP="008462C8">
      <w:pPr>
        <w:pStyle w:val="ListParagraph"/>
        <w:numPr>
          <w:ilvl w:val="0"/>
          <w:numId w:val="1"/>
        </w:numPr>
        <w:jc w:val="both"/>
        <w:rPr>
          <w:rFonts w:ascii="Lato" w:hAnsi="Lato"/>
          <w:sz w:val="22"/>
          <w:szCs w:val="22"/>
        </w:rPr>
      </w:pPr>
      <w:r w:rsidRPr="003D632A">
        <w:rPr>
          <w:rFonts w:ascii="Lato" w:hAnsi="Lato"/>
          <w:sz w:val="22"/>
          <w:szCs w:val="22"/>
        </w:rPr>
        <w:t xml:space="preserve">Against this, are the objective factors referred to above and the Board’s </w:t>
      </w:r>
      <w:r w:rsidR="00343F43" w:rsidRPr="003D632A">
        <w:rPr>
          <w:rFonts w:ascii="Lato" w:hAnsi="Lato"/>
          <w:sz w:val="22"/>
          <w:szCs w:val="22"/>
        </w:rPr>
        <w:t xml:space="preserve">concern with regard to the maintenance of confidence in the real estate industry and those that practice in it. </w:t>
      </w:r>
      <w:r w:rsidR="00AC604E" w:rsidRPr="003D632A">
        <w:rPr>
          <w:rFonts w:ascii="Lato" w:hAnsi="Lato"/>
          <w:sz w:val="22"/>
          <w:szCs w:val="22"/>
        </w:rPr>
        <w:t xml:space="preserve">The issue of community protection is of vital importance. </w:t>
      </w:r>
      <w:r w:rsidR="00343F43" w:rsidRPr="003D632A">
        <w:rPr>
          <w:rFonts w:ascii="Lato" w:hAnsi="Lato"/>
          <w:sz w:val="22"/>
          <w:szCs w:val="22"/>
        </w:rPr>
        <w:t xml:space="preserve"> It is axiomatic that a real estate agent has reposed in him or her a great deal of trust</w:t>
      </w:r>
      <w:r w:rsidR="00AC604E" w:rsidRPr="003D632A">
        <w:rPr>
          <w:rFonts w:ascii="Lato" w:hAnsi="Lato"/>
          <w:sz w:val="22"/>
          <w:szCs w:val="22"/>
        </w:rPr>
        <w:t xml:space="preserve">. </w:t>
      </w:r>
      <w:r w:rsidR="00343F43" w:rsidRPr="003D632A">
        <w:rPr>
          <w:rFonts w:ascii="Lato" w:hAnsi="Lato"/>
          <w:sz w:val="22"/>
          <w:szCs w:val="22"/>
        </w:rPr>
        <w:t xml:space="preserve">The financial assets involved are </w:t>
      </w:r>
      <w:r w:rsidR="00AC604E" w:rsidRPr="003D632A">
        <w:rPr>
          <w:rFonts w:ascii="Lato" w:hAnsi="Lato"/>
          <w:sz w:val="22"/>
          <w:szCs w:val="22"/>
        </w:rPr>
        <w:t>frequently large. In this context, the nature of the offending, involving as it does, protracted flouting of the law for many months, is particularly concerning</w:t>
      </w:r>
      <w:r w:rsidR="00F97A81" w:rsidRPr="003D632A">
        <w:rPr>
          <w:rFonts w:ascii="Lato" w:hAnsi="Lato"/>
          <w:sz w:val="22"/>
          <w:szCs w:val="22"/>
        </w:rPr>
        <w:t xml:space="preserve"> as is the overall quantity which was just below the commercial quantity.</w:t>
      </w:r>
      <w:r w:rsidR="00E77732" w:rsidRPr="003D632A">
        <w:rPr>
          <w:rFonts w:ascii="Lato" w:hAnsi="Lato"/>
          <w:sz w:val="22"/>
          <w:szCs w:val="22"/>
        </w:rPr>
        <w:t xml:space="preserve"> </w:t>
      </w:r>
      <w:r w:rsidR="00F97A81" w:rsidRPr="003D632A">
        <w:rPr>
          <w:rFonts w:ascii="Lato" w:hAnsi="Lato"/>
          <w:sz w:val="22"/>
          <w:szCs w:val="22"/>
        </w:rPr>
        <w:t>Th</w:t>
      </w:r>
      <w:r w:rsidR="00E77732" w:rsidRPr="003D632A">
        <w:rPr>
          <w:rFonts w:ascii="Lato" w:hAnsi="Lato"/>
          <w:sz w:val="22"/>
          <w:szCs w:val="22"/>
        </w:rPr>
        <w:t>e concerns expressed by Hiley J above</w:t>
      </w:r>
      <w:r w:rsidR="00F97A81" w:rsidRPr="003D632A">
        <w:rPr>
          <w:rFonts w:ascii="Lato" w:hAnsi="Lato"/>
          <w:sz w:val="22"/>
          <w:szCs w:val="22"/>
        </w:rPr>
        <w:t xml:space="preserve">  in Kotis at [45] (see </w:t>
      </w:r>
      <w:r w:rsidR="00E77732" w:rsidRPr="003D632A">
        <w:rPr>
          <w:rFonts w:ascii="Lato" w:hAnsi="Lato"/>
          <w:sz w:val="22"/>
          <w:szCs w:val="22"/>
        </w:rPr>
        <w:t xml:space="preserve">para 20) are </w:t>
      </w:r>
      <w:r w:rsidR="00C91DC2" w:rsidRPr="003D632A">
        <w:rPr>
          <w:rFonts w:ascii="Lato" w:hAnsi="Lato"/>
          <w:sz w:val="22"/>
          <w:szCs w:val="22"/>
        </w:rPr>
        <w:t>particularly</w:t>
      </w:r>
      <w:r w:rsidR="00F97A81" w:rsidRPr="003D632A">
        <w:rPr>
          <w:rFonts w:ascii="Lato" w:hAnsi="Lato"/>
          <w:sz w:val="22"/>
          <w:szCs w:val="22"/>
        </w:rPr>
        <w:t xml:space="preserve"> relevant to t</w:t>
      </w:r>
      <w:r w:rsidR="00E77732" w:rsidRPr="003D632A">
        <w:rPr>
          <w:rFonts w:ascii="Lato" w:hAnsi="Lato"/>
          <w:sz w:val="22"/>
          <w:szCs w:val="22"/>
        </w:rPr>
        <w:t xml:space="preserve">he question of exemption. </w:t>
      </w:r>
      <w:r w:rsidR="00521E35" w:rsidRPr="003D632A">
        <w:rPr>
          <w:rFonts w:ascii="Lato" w:hAnsi="Lato"/>
          <w:sz w:val="22"/>
          <w:szCs w:val="22"/>
        </w:rPr>
        <w:t>The matter is serious</w:t>
      </w:r>
      <w:r w:rsidR="00F97A81" w:rsidRPr="003D632A">
        <w:rPr>
          <w:rFonts w:ascii="Lato" w:hAnsi="Lato"/>
          <w:sz w:val="22"/>
          <w:szCs w:val="22"/>
        </w:rPr>
        <w:t xml:space="preserve">. </w:t>
      </w:r>
      <w:r w:rsidR="00521E35" w:rsidRPr="003D632A">
        <w:rPr>
          <w:rFonts w:ascii="Lato" w:hAnsi="Lato"/>
          <w:sz w:val="22"/>
          <w:szCs w:val="22"/>
        </w:rPr>
        <w:t xml:space="preserve">The Board </w:t>
      </w:r>
      <w:r w:rsidR="009C0579" w:rsidRPr="003D632A">
        <w:rPr>
          <w:rFonts w:ascii="Lato" w:hAnsi="Lato"/>
          <w:sz w:val="22"/>
          <w:szCs w:val="22"/>
        </w:rPr>
        <w:t>does</w:t>
      </w:r>
      <w:r w:rsidR="00521E35" w:rsidRPr="003D632A">
        <w:rPr>
          <w:rFonts w:ascii="Lato" w:hAnsi="Lato"/>
          <w:sz w:val="22"/>
          <w:szCs w:val="22"/>
        </w:rPr>
        <w:t xml:space="preserve"> see that there is a proper basis to exempt Mr Secondis from the requirements of the Act and</w:t>
      </w:r>
      <w:r w:rsidR="00863F13">
        <w:rPr>
          <w:rFonts w:ascii="Lato" w:hAnsi="Lato"/>
          <w:sz w:val="22"/>
          <w:szCs w:val="22"/>
        </w:rPr>
        <w:t>,</w:t>
      </w:r>
      <w:r w:rsidR="00521E35" w:rsidRPr="003D632A">
        <w:rPr>
          <w:rFonts w:ascii="Lato" w:hAnsi="Lato"/>
          <w:sz w:val="22"/>
          <w:szCs w:val="22"/>
        </w:rPr>
        <w:t xml:space="preserve"> in particular</w:t>
      </w:r>
      <w:r w:rsidR="00863F13">
        <w:rPr>
          <w:rFonts w:ascii="Lato" w:hAnsi="Lato"/>
          <w:sz w:val="22"/>
          <w:szCs w:val="22"/>
        </w:rPr>
        <w:t>,</w:t>
      </w:r>
      <w:r w:rsidR="00521E35" w:rsidRPr="003D632A">
        <w:rPr>
          <w:rFonts w:ascii="Lato" w:hAnsi="Lato"/>
          <w:sz w:val="22"/>
          <w:szCs w:val="22"/>
        </w:rPr>
        <w:t xml:space="preserve"> section 20 &amp; 22</w:t>
      </w:r>
      <w:r w:rsidR="00376E0A" w:rsidRPr="003D632A">
        <w:rPr>
          <w:rFonts w:ascii="Lato" w:hAnsi="Lato"/>
          <w:sz w:val="22"/>
          <w:szCs w:val="22"/>
        </w:rPr>
        <w:t xml:space="preserve"> and so finds.</w:t>
      </w:r>
      <w:r w:rsidR="009545A1">
        <w:rPr>
          <w:rFonts w:ascii="Lato" w:hAnsi="Lato"/>
          <w:sz w:val="22"/>
          <w:szCs w:val="22"/>
        </w:rPr>
        <w:t xml:space="preserve"> </w:t>
      </w:r>
    </w:p>
    <w:p w14:paraId="5B2BD175" w14:textId="21B9000E" w:rsidR="00B703DE" w:rsidRDefault="00B703DE" w:rsidP="00B703DE">
      <w:pPr>
        <w:jc w:val="both"/>
        <w:rPr>
          <w:rFonts w:ascii="Lato" w:hAnsi="Lato"/>
          <w:sz w:val="22"/>
          <w:szCs w:val="22"/>
        </w:rPr>
      </w:pPr>
    </w:p>
    <w:p w14:paraId="5143D9AC" w14:textId="07393D7B" w:rsidR="00B703DE" w:rsidRPr="00B703DE" w:rsidRDefault="00B703DE" w:rsidP="00B703DE">
      <w:pPr>
        <w:jc w:val="both"/>
        <w:rPr>
          <w:rFonts w:ascii="Lato" w:hAnsi="Lato"/>
          <w:b/>
          <w:bCs/>
          <w:i/>
          <w:iCs/>
          <w:sz w:val="22"/>
          <w:szCs w:val="22"/>
        </w:rPr>
      </w:pPr>
      <w:r w:rsidRPr="00B703DE">
        <w:rPr>
          <w:rFonts w:ascii="Lato" w:hAnsi="Lato"/>
          <w:b/>
          <w:bCs/>
          <w:i/>
          <w:iCs/>
          <w:sz w:val="22"/>
          <w:szCs w:val="22"/>
        </w:rPr>
        <w:t>The decision of the Board</w:t>
      </w:r>
    </w:p>
    <w:p w14:paraId="39F85473" w14:textId="77777777" w:rsidR="00B703DE" w:rsidRPr="00B703DE" w:rsidRDefault="00B703DE" w:rsidP="00B703DE">
      <w:pPr>
        <w:jc w:val="both"/>
        <w:rPr>
          <w:rFonts w:ascii="Lato" w:hAnsi="Lato"/>
          <w:sz w:val="22"/>
          <w:szCs w:val="22"/>
        </w:rPr>
      </w:pPr>
    </w:p>
    <w:p w14:paraId="2DA33F03" w14:textId="6FD20E5C" w:rsidR="008462C8" w:rsidRPr="003D632A" w:rsidRDefault="009545A1" w:rsidP="008462C8">
      <w:pPr>
        <w:pStyle w:val="ListParagraph"/>
        <w:numPr>
          <w:ilvl w:val="0"/>
          <w:numId w:val="1"/>
        </w:numPr>
        <w:jc w:val="both"/>
        <w:rPr>
          <w:rFonts w:ascii="Lato" w:hAnsi="Lato"/>
          <w:sz w:val="22"/>
          <w:szCs w:val="22"/>
        </w:rPr>
      </w:pPr>
      <w:r>
        <w:rPr>
          <w:rFonts w:ascii="Lato" w:hAnsi="Lato"/>
          <w:sz w:val="22"/>
          <w:szCs w:val="22"/>
        </w:rPr>
        <w:t>Pursuant to s 29 (1)</w:t>
      </w:r>
      <w:r w:rsidR="00B703DE">
        <w:rPr>
          <w:rFonts w:ascii="Lato" w:hAnsi="Lato"/>
          <w:sz w:val="22"/>
          <w:szCs w:val="22"/>
        </w:rPr>
        <w:t>(b)</w:t>
      </w:r>
      <w:r>
        <w:rPr>
          <w:rFonts w:ascii="Lato" w:hAnsi="Lato"/>
          <w:sz w:val="22"/>
          <w:szCs w:val="22"/>
        </w:rPr>
        <w:t xml:space="preserve"> of the Act the Board refuses the application for the licence.</w:t>
      </w:r>
    </w:p>
    <w:p w14:paraId="480D991F" w14:textId="1197F7F8" w:rsidR="00376E0A" w:rsidRPr="003D632A" w:rsidRDefault="00376E0A" w:rsidP="00376E0A">
      <w:pPr>
        <w:jc w:val="both"/>
        <w:rPr>
          <w:rFonts w:ascii="Lato" w:hAnsi="Lato"/>
          <w:sz w:val="22"/>
          <w:szCs w:val="22"/>
        </w:rPr>
      </w:pPr>
    </w:p>
    <w:p w14:paraId="541AC296" w14:textId="77777777" w:rsidR="005074FF" w:rsidRDefault="005074FF" w:rsidP="00B43FC0">
      <w:pPr>
        <w:rPr>
          <w:rFonts w:ascii="Lato" w:hAnsi="Lato"/>
          <w:b/>
          <w:bCs/>
          <w:i/>
          <w:iCs/>
          <w:sz w:val="22"/>
          <w:szCs w:val="22"/>
        </w:rPr>
      </w:pPr>
    </w:p>
    <w:p w14:paraId="416078D7" w14:textId="77777777" w:rsidR="005074FF" w:rsidRDefault="005074FF" w:rsidP="00B43FC0">
      <w:pPr>
        <w:rPr>
          <w:rFonts w:ascii="Lato" w:hAnsi="Lato"/>
          <w:b/>
          <w:bCs/>
          <w:i/>
          <w:iCs/>
          <w:sz w:val="22"/>
          <w:szCs w:val="22"/>
        </w:rPr>
      </w:pPr>
    </w:p>
    <w:p w14:paraId="1AA4ECFF" w14:textId="17C6D184" w:rsidR="00B43FC0" w:rsidRPr="003D632A" w:rsidRDefault="00B43FC0" w:rsidP="00B43FC0">
      <w:pPr>
        <w:rPr>
          <w:rFonts w:ascii="Lato" w:hAnsi="Lato"/>
          <w:sz w:val="22"/>
          <w:szCs w:val="22"/>
        </w:rPr>
      </w:pPr>
      <w:r w:rsidRPr="003D632A">
        <w:rPr>
          <w:rFonts w:ascii="Lato" w:hAnsi="Lato"/>
          <w:b/>
          <w:bCs/>
          <w:i/>
          <w:iCs/>
          <w:sz w:val="22"/>
          <w:szCs w:val="22"/>
        </w:rPr>
        <w:lastRenderedPageBreak/>
        <w:t>Right of Appeal</w:t>
      </w:r>
    </w:p>
    <w:p w14:paraId="4424BF5D" w14:textId="77777777" w:rsidR="00B43FC0" w:rsidRPr="003D632A" w:rsidRDefault="00B43FC0" w:rsidP="00B43FC0">
      <w:pPr>
        <w:ind w:right="538"/>
        <w:jc w:val="both"/>
        <w:rPr>
          <w:rFonts w:ascii="Lato" w:hAnsi="Lato"/>
          <w:sz w:val="22"/>
          <w:szCs w:val="22"/>
        </w:rPr>
      </w:pPr>
    </w:p>
    <w:p w14:paraId="50CE2CA0" w14:textId="77777777" w:rsidR="00B43FC0" w:rsidRPr="003D632A" w:rsidRDefault="00B43FC0" w:rsidP="00B43FC0">
      <w:pPr>
        <w:numPr>
          <w:ilvl w:val="0"/>
          <w:numId w:val="1"/>
        </w:numPr>
        <w:jc w:val="both"/>
        <w:rPr>
          <w:rFonts w:ascii="Lato" w:hAnsi="Lato"/>
          <w:sz w:val="22"/>
          <w:szCs w:val="22"/>
        </w:rPr>
      </w:pPr>
      <w:r w:rsidRPr="003D632A">
        <w:rPr>
          <w:rFonts w:ascii="Lato" w:hAnsi="Lato"/>
          <w:sz w:val="22"/>
          <w:szCs w:val="22"/>
        </w:rPr>
        <w:t>Section 85 of the Act provides that a person aggrieved by a decision of the Board can appeal to the Local Court.</w:t>
      </w:r>
    </w:p>
    <w:p w14:paraId="1092C7CD" w14:textId="77777777" w:rsidR="00B43FC0" w:rsidRPr="003D632A" w:rsidRDefault="00B43FC0" w:rsidP="00B43FC0">
      <w:pPr>
        <w:ind w:left="720"/>
        <w:jc w:val="both"/>
        <w:rPr>
          <w:rFonts w:ascii="Lato" w:hAnsi="Lato"/>
          <w:sz w:val="22"/>
          <w:szCs w:val="22"/>
        </w:rPr>
      </w:pPr>
    </w:p>
    <w:p w14:paraId="6A07B67F" w14:textId="77777777" w:rsidR="00B43FC0" w:rsidRPr="003D632A" w:rsidRDefault="00B43FC0" w:rsidP="00B43FC0">
      <w:pPr>
        <w:numPr>
          <w:ilvl w:val="0"/>
          <w:numId w:val="1"/>
        </w:numPr>
        <w:jc w:val="both"/>
        <w:rPr>
          <w:rFonts w:ascii="Lato" w:hAnsi="Lato"/>
          <w:sz w:val="22"/>
          <w:szCs w:val="22"/>
        </w:rPr>
      </w:pPr>
      <w:r w:rsidRPr="003D632A">
        <w:rPr>
          <w:rFonts w:ascii="Lato" w:hAnsi="Lato"/>
          <w:sz w:val="22"/>
          <w:szCs w:val="22"/>
        </w:rPr>
        <w:t>An appeal application must be made within 21 days of the date of this decision.</w:t>
      </w:r>
    </w:p>
    <w:p w14:paraId="308750D8" w14:textId="754F2E2E" w:rsidR="00376E0A" w:rsidRPr="003D632A" w:rsidRDefault="00376E0A" w:rsidP="00376E0A">
      <w:pPr>
        <w:jc w:val="both"/>
        <w:rPr>
          <w:rFonts w:ascii="Lato" w:hAnsi="Lato"/>
          <w:sz w:val="22"/>
          <w:szCs w:val="22"/>
        </w:rPr>
      </w:pPr>
    </w:p>
    <w:p w14:paraId="6BFE30EA" w14:textId="6BF16807" w:rsidR="00732FFB" w:rsidRPr="003D632A" w:rsidRDefault="00732FFB" w:rsidP="00732FFB">
      <w:pPr>
        <w:jc w:val="both"/>
        <w:rPr>
          <w:rFonts w:ascii="Lato" w:hAnsi="Lato"/>
          <w:sz w:val="22"/>
          <w:szCs w:val="22"/>
        </w:rPr>
      </w:pPr>
      <w:r w:rsidRPr="003D632A">
        <w:rPr>
          <w:rFonts w:ascii="Lato" w:hAnsi="Lato"/>
          <w:sz w:val="22"/>
          <w:szCs w:val="22"/>
        </w:rPr>
        <w:t>Dated 10 February 2022 at Darwin</w:t>
      </w:r>
    </w:p>
    <w:p w14:paraId="11A77E24" w14:textId="77777777" w:rsidR="00732FFB" w:rsidRPr="003D632A" w:rsidRDefault="00732FFB" w:rsidP="00732FFB">
      <w:pPr>
        <w:jc w:val="both"/>
        <w:rPr>
          <w:rFonts w:ascii="Lato" w:hAnsi="Lato"/>
          <w:sz w:val="22"/>
          <w:szCs w:val="22"/>
        </w:rPr>
      </w:pPr>
    </w:p>
    <w:p w14:paraId="619EEBBD" w14:textId="3BDB9D85" w:rsidR="00732FFB" w:rsidRPr="003D632A" w:rsidRDefault="00F3197E" w:rsidP="00732FFB">
      <w:pPr>
        <w:ind w:left="-709"/>
        <w:jc w:val="both"/>
        <w:rPr>
          <w:rFonts w:ascii="Lato" w:hAnsi="Lato" w:cs="Arial"/>
          <w:noProof/>
          <w:sz w:val="22"/>
          <w:szCs w:val="22"/>
          <w:lang w:eastAsia="en-AU"/>
        </w:rPr>
      </w:pPr>
      <w:r w:rsidRPr="003D632A">
        <w:rPr>
          <w:rFonts w:ascii="Lato" w:hAnsi="Lato" w:cs="Arial"/>
          <w:noProof/>
          <w:sz w:val="22"/>
          <w:szCs w:val="22"/>
          <w:lang w:eastAsia="en-AU"/>
        </w:rPr>
        <w:drawing>
          <wp:inline distT="0" distB="0" distL="0" distR="0" wp14:anchorId="581B3A6F" wp14:editId="07073DD4">
            <wp:extent cx="2011680" cy="548640"/>
            <wp:effectExtent l="0" t="0" r="7620" b="3810"/>
            <wp:docPr id="1" name="Picture 1" descr="Mark Thomas esign_060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Thomas esign_0603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548640"/>
                    </a:xfrm>
                    <a:prstGeom prst="rect">
                      <a:avLst/>
                    </a:prstGeom>
                    <a:noFill/>
                    <a:ln>
                      <a:noFill/>
                    </a:ln>
                  </pic:spPr>
                </pic:pic>
              </a:graphicData>
            </a:graphic>
          </wp:inline>
        </w:drawing>
      </w:r>
    </w:p>
    <w:p w14:paraId="28C6A880" w14:textId="77777777" w:rsidR="00732FFB" w:rsidRPr="003D632A" w:rsidRDefault="00732FFB" w:rsidP="00732FFB">
      <w:pPr>
        <w:ind w:left="-709"/>
        <w:jc w:val="both"/>
        <w:rPr>
          <w:rFonts w:ascii="Lato" w:hAnsi="Lato"/>
          <w:sz w:val="22"/>
          <w:szCs w:val="22"/>
        </w:rPr>
      </w:pPr>
    </w:p>
    <w:p w14:paraId="683AED1F" w14:textId="77777777" w:rsidR="00732FFB" w:rsidRPr="003D632A" w:rsidRDefault="00732FFB" w:rsidP="00732FFB">
      <w:pPr>
        <w:jc w:val="both"/>
        <w:rPr>
          <w:rFonts w:ascii="Lato" w:hAnsi="Lato"/>
          <w:sz w:val="22"/>
          <w:szCs w:val="22"/>
        </w:rPr>
      </w:pPr>
      <w:r w:rsidRPr="003D632A">
        <w:rPr>
          <w:rFonts w:ascii="Lato" w:hAnsi="Lato"/>
          <w:sz w:val="22"/>
          <w:szCs w:val="22"/>
        </w:rPr>
        <w:t>Mark Thomas</w:t>
      </w:r>
    </w:p>
    <w:p w14:paraId="37A7A810" w14:textId="77777777" w:rsidR="00732FFB" w:rsidRPr="003D632A" w:rsidRDefault="00732FFB" w:rsidP="00732FFB">
      <w:pPr>
        <w:jc w:val="both"/>
        <w:rPr>
          <w:rFonts w:ascii="Lato" w:hAnsi="Lato"/>
          <w:sz w:val="22"/>
          <w:szCs w:val="22"/>
        </w:rPr>
      </w:pPr>
      <w:r w:rsidRPr="003D632A">
        <w:rPr>
          <w:rFonts w:ascii="Lato" w:hAnsi="Lato"/>
          <w:sz w:val="22"/>
          <w:szCs w:val="22"/>
        </w:rPr>
        <w:t>Chairperson</w:t>
      </w:r>
    </w:p>
    <w:p w14:paraId="35E73392" w14:textId="77777777" w:rsidR="00732FFB" w:rsidRPr="003D632A" w:rsidRDefault="00732FFB" w:rsidP="00732FFB">
      <w:pPr>
        <w:jc w:val="both"/>
        <w:rPr>
          <w:rFonts w:ascii="Lato" w:hAnsi="Lato"/>
          <w:sz w:val="22"/>
          <w:szCs w:val="22"/>
        </w:rPr>
      </w:pPr>
      <w:r w:rsidRPr="003D632A">
        <w:rPr>
          <w:rFonts w:ascii="Lato" w:hAnsi="Lato"/>
          <w:sz w:val="22"/>
          <w:szCs w:val="22"/>
        </w:rPr>
        <w:t xml:space="preserve">Agents Licensing Board of the Northern Territory </w:t>
      </w:r>
    </w:p>
    <w:p w14:paraId="01B24601" w14:textId="77777777" w:rsidR="00732FFB" w:rsidRPr="003D632A" w:rsidRDefault="00732FFB" w:rsidP="00732FFB">
      <w:pPr>
        <w:jc w:val="both"/>
        <w:rPr>
          <w:rFonts w:ascii="Lato" w:hAnsi="Lato"/>
          <w:sz w:val="22"/>
          <w:szCs w:val="22"/>
        </w:rPr>
      </w:pPr>
    </w:p>
    <w:p w14:paraId="79AB8E52" w14:textId="457FEA7B" w:rsidR="0029308E" w:rsidRPr="003D632A" w:rsidRDefault="0029308E" w:rsidP="00376E0A">
      <w:pPr>
        <w:jc w:val="both"/>
        <w:rPr>
          <w:rFonts w:ascii="Lato" w:hAnsi="Lato"/>
          <w:sz w:val="22"/>
          <w:szCs w:val="22"/>
        </w:rPr>
      </w:pPr>
    </w:p>
    <w:p w14:paraId="575352EA" w14:textId="32A0B9DE" w:rsidR="0029308E" w:rsidRPr="003D632A" w:rsidRDefault="0029308E" w:rsidP="00376E0A">
      <w:pPr>
        <w:jc w:val="both"/>
        <w:rPr>
          <w:rFonts w:ascii="Lato" w:hAnsi="Lato"/>
          <w:sz w:val="22"/>
          <w:szCs w:val="22"/>
        </w:rPr>
      </w:pPr>
    </w:p>
    <w:p w14:paraId="5B0751D6" w14:textId="77777777" w:rsidR="0029308E" w:rsidRPr="003D632A" w:rsidRDefault="0029308E" w:rsidP="00376E0A">
      <w:pPr>
        <w:jc w:val="both"/>
        <w:rPr>
          <w:rFonts w:ascii="Lato" w:hAnsi="Lato"/>
          <w:sz w:val="22"/>
          <w:szCs w:val="22"/>
        </w:rPr>
      </w:pPr>
    </w:p>
    <w:p w14:paraId="173DBCD5" w14:textId="3681F20C" w:rsidR="00376E0A" w:rsidRPr="003D632A" w:rsidRDefault="00376E0A" w:rsidP="00376E0A">
      <w:pPr>
        <w:jc w:val="both"/>
        <w:rPr>
          <w:rFonts w:ascii="Lato" w:hAnsi="Lato"/>
          <w:sz w:val="22"/>
          <w:szCs w:val="22"/>
        </w:rPr>
      </w:pPr>
    </w:p>
    <w:sectPr w:rsidR="00376E0A" w:rsidRPr="003D632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F8B66" w14:textId="77777777" w:rsidR="008F3A7E" w:rsidRDefault="008F3A7E" w:rsidP="00B122B2">
      <w:r>
        <w:separator/>
      </w:r>
    </w:p>
  </w:endnote>
  <w:endnote w:type="continuationSeparator" w:id="0">
    <w:p w14:paraId="363627D0" w14:textId="77777777" w:rsidR="008F3A7E" w:rsidRDefault="008F3A7E" w:rsidP="00B1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11202787"/>
      <w:docPartObj>
        <w:docPartGallery w:val="Page Numbers (Bottom of Page)"/>
        <w:docPartUnique/>
      </w:docPartObj>
    </w:sdtPr>
    <w:sdtEndPr>
      <w:rPr>
        <w:rStyle w:val="PageNumber"/>
      </w:rPr>
    </w:sdtEndPr>
    <w:sdtContent>
      <w:p w14:paraId="6C14AC5B" w14:textId="59ABF06A" w:rsidR="00B122B2" w:rsidRDefault="00B122B2" w:rsidP="000E1A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DB7A" w14:textId="77777777" w:rsidR="00B122B2" w:rsidRDefault="00B122B2" w:rsidP="00B122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58523274"/>
      <w:docPartObj>
        <w:docPartGallery w:val="Page Numbers (Bottom of Page)"/>
        <w:docPartUnique/>
      </w:docPartObj>
    </w:sdtPr>
    <w:sdtEndPr>
      <w:rPr>
        <w:rStyle w:val="PageNumber"/>
      </w:rPr>
    </w:sdtEndPr>
    <w:sdtContent>
      <w:p w14:paraId="1DBD33AB" w14:textId="6324CF1E" w:rsidR="00B122B2" w:rsidRDefault="00B122B2" w:rsidP="000E1A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7602">
          <w:rPr>
            <w:rStyle w:val="PageNumber"/>
            <w:noProof/>
          </w:rPr>
          <w:t>1</w:t>
        </w:r>
        <w:r>
          <w:rPr>
            <w:rStyle w:val="PageNumber"/>
          </w:rPr>
          <w:fldChar w:fldCharType="end"/>
        </w:r>
      </w:p>
    </w:sdtContent>
  </w:sdt>
  <w:p w14:paraId="3C658572" w14:textId="77777777" w:rsidR="00B122B2" w:rsidRDefault="00B122B2" w:rsidP="00B122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DC3EC" w14:textId="77777777" w:rsidR="008F3A7E" w:rsidRDefault="008F3A7E" w:rsidP="00B122B2">
      <w:r>
        <w:separator/>
      </w:r>
    </w:p>
  </w:footnote>
  <w:footnote w:type="continuationSeparator" w:id="0">
    <w:p w14:paraId="513E4E5F" w14:textId="77777777" w:rsidR="008F3A7E" w:rsidRDefault="008F3A7E" w:rsidP="00B122B2">
      <w:r>
        <w:continuationSeparator/>
      </w:r>
    </w:p>
  </w:footnote>
  <w:footnote w:id="1">
    <w:p w14:paraId="6719F4D4" w14:textId="1191F1BB" w:rsidR="00537463" w:rsidRDefault="00537463">
      <w:pPr>
        <w:pStyle w:val="FootnoteText"/>
      </w:pPr>
      <w:r>
        <w:rPr>
          <w:rStyle w:val="FootnoteReference"/>
        </w:rPr>
        <w:footnoteRef/>
      </w:r>
      <w:r>
        <w:t xml:space="preserve"> On 17 June 2021</w:t>
      </w:r>
    </w:p>
  </w:footnote>
  <w:footnote w:id="2">
    <w:p w14:paraId="5FB7E656" w14:textId="721D5CE8" w:rsidR="00080C84" w:rsidRDefault="00080C84">
      <w:pPr>
        <w:pStyle w:val="FootnoteText"/>
      </w:pPr>
      <w:r>
        <w:rPr>
          <w:rStyle w:val="FootnoteReference"/>
        </w:rPr>
        <w:footnoteRef/>
      </w:r>
      <w:r>
        <w:t xml:space="preserve"> Section 121A of </w:t>
      </w:r>
      <w:r w:rsidR="00022DA1">
        <w:t>t</w:t>
      </w:r>
      <w:r>
        <w:t>he Local Court (Criminal Proce</w:t>
      </w:r>
      <w:r w:rsidR="00022DA1">
        <w:t>dure) Act</w:t>
      </w:r>
    </w:p>
  </w:footnote>
  <w:footnote w:id="3">
    <w:p w14:paraId="641A4FF6" w14:textId="6348CBAC" w:rsidR="008F1027" w:rsidRDefault="008F1027">
      <w:pPr>
        <w:pStyle w:val="FootnoteText"/>
      </w:pPr>
      <w:r>
        <w:rPr>
          <w:rStyle w:val="FootnoteReference"/>
        </w:rPr>
        <w:footnoteRef/>
      </w:r>
      <w:r>
        <w:t xml:space="preserve"> Page 2 of the Local Court transcript</w:t>
      </w:r>
    </w:p>
  </w:footnote>
  <w:footnote w:id="4">
    <w:p w14:paraId="0C125323" w14:textId="5091AC9B" w:rsidR="008F1027" w:rsidRDefault="008F1027">
      <w:pPr>
        <w:pStyle w:val="FootnoteText"/>
      </w:pPr>
      <w:r>
        <w:rPr>
          <w:rStyle w:val="FootnoteReference"/>
        </w:rPr>
        <w:footnoteRef/>
      </w:r>
      <w:r>
        <w:t xml:space="preserve"> Ibid, p 4</w:t>
      </w:r>
    </w:p>
  </w:footnote>
  <w:footnote w:id="5">
    <w:p w14:paraId="07AA8EBD" w14:textId="75A10E30" w:rsidR="00CE5A31" w:rsidRDefault="00CE5A31">
      <w:pPr>
        <w:pStyle w:val="FootnoteText"/>
      </w:pPr>
      <w:r>
        <w:rPr>
          <w:rStyle w:val="FootnoteReference"/>
        </w:rPr>
        <w:footnoteRef/>
      </w:r>
      <w:r>
        <w:t xml:space="preserve"> Page 4.5 of the transcript</w:t>
      </w:r>
    </w:p>
  </w:footnote>
  <w:footnote w:id="6">
    <w:p w14:paraId="1C714D30" w14:textId="47B6D258" w:rsidR="00CE5A31" w:rsidRDefault="00CE5A31">
      <w:pPr>
        <w:pStyle w:val="FootnoteText"/>
      </w:pPr>
      <w:r>
        <w:rPr>
          <w:rStyle w:val="FootnoteReference"/>
        </w:rPr>
        <w:footnoteRef/>
      </w:r>
      <w:r>
        <w:t xml:space="preserve"> ibid</w:t>
      </w:r>
    </w:p>
  </w:footnote>
  <w:footnote w:id="7">
    <w:p w14:paraId="271FA109" w14:textId="2C741419" w:rsidR="00A16840" w:rsidRDefault="00A16840">
      <w:pPr>
        <w:pStyle w:val="FootnoteText"/>
      </w:pPr>
      <w:r>
        <w:rPr>
          <w:rStyle w:val="FootnoteReference"/>
        </w:rPr>
        <w:footnoteRef/>
      </w:r>
      <w:r>
        <w:t xml:space="preserve"> P 5</w:t>
      </w:r>
    </w:p>
  </w:footnote>
  <w:footnote w:id="8">
    <w:p w14:paraId="598A1D78" w14:textId="3242D103" w:rsidR="00290647" w:rsidRDefault="00290647">
      <w:pPr>
        <w:pStyle w:val="FootnoteText"/>
      </w:pPr>
      <w:r>
        <w:rPr>
          <w:rStyle w:val="FootnoteReference"/>
        </w:rPr>
        <w:footnoteRef/>
      </w:r>
      <w:r>
        <w:t xml:space="preserve"> See Rigby v Kotis [2018] NTSC 48 at [50]</w:t>
      </w:r>
    </w:p>
  </w:footnote>
  <w:footnote w:id="9">
    <w:p w14:paraId="4A7985B2" w14:textId="59D7C78E" w:rsidR="00912EAA" w:rsidRDefault="00912EAA">
      <w:pPr>
        <w:pStyle w:val="FootnoteText"/>
      </w:pPr>
      <w:r>
        <w:rPr>
          <w:rStyle w:val="FootnoteReference"/>
        </w:rPr>
        <w:footnoteRef/>
      </w:r>
      <w:r>
        <w:t xml:space="preserve"> Ibid </w:t>
      </w:r>
    </w:p>
  </w:footnote>
  <w:footnote w:id="10">
    <w:p w14:paraId="1D4997F3" w14:textId="2E8E8174" w:rsidR="00BC5AF8" w:rsidRDefault="00BC5AF8">
      <w:pPr>
        <w:pStyle w:val="FootnoteText"/>
      </w:pPr>
      <w:r>
        <w:rPr>
          <w:rStyle w:val="FootnoteReference"/>
        </w:rPr>
        <w:footnoteRef/>
      </w:r>
      <w:r>
        <w:t xml:space="preserve"> </w:t>
      </w:r>
      <w:r w:rsidR="004105D3">
        <w:t>Rigby</w:t>
      </w:r>
      <w:r w:rsidR="00290647">
        <w:t xml:space="preserve"> v Kotis, </w:t>
      </w:r>
      <w:r w:rsidR="00D46E66">
        <w:t xml:space="preserve">op cit, </w:t>
      </w:r>
      <w:r w:rsidR="00290647">
        <w:t xml:space="preserve">at </w:t>
      </w:r>
      <w:r w:rsidR="004105D3">
        <w:t xml:space="preserve"> </w:t>
      </w:r>
      <w:r>
        <w:t>[24</w:t>
      </w:r>
      <w:r w:rsidR="004105D3">
        <w:t>]</w:t>
      </w:r>
    </w:p>
  </w:footnote>
  <w:footnote w:id="11">
    <w:p w14:paraId="6952F950" w14:textId="68D93212" w:rsidR="004105D3" w:rsidRDefault="004105D3">
      <w:pPr>
        <w:pStyle w:val="FootnoteText"/>
      </w:pPr>
      <w:r>
        <w:rPr>
          <w:rStyle w:val="FootnoteReference"/>
        </w:rPr>
        <w:footnoteRef/>
      </w:r>
      <w:r>
        <w:t xml:space="preserve"> Ibid, para[34]</w:t>
      </w:r>
    </w:p>
  </w:footnote>
  <w:footnote w:id="12">
    <w:p w14:paraId="23B9E245" w14:textId="2B22A5A9" w:rsidR="002D79E1" w:rsidRDefault="002D79E1">
      <w:pPr>
        <w:pStyle w:val="FootnoteText"/>
      </w:pPr>
      <w:r>
        <w:rPr>
          <w:rStyle w:val="FootnoteReference"/>
        </w:rPr>
        <w:footnoteRef/>
      </w:r>
      <w:r>
        <w:t xml:space="preserve"> Macquarie Dictionary, Macquarie Dictionary Publishers, 6</w:t>
      </w:r>
      <w:r w:rsidRPr="002D79E1">
        <w:rPr>
          <w:vertAlign w:val="superscript"/>
        </w:rPr>
        <w:t>th</w:t>
      </w:r>
      <w:r>
        <w:t xml:space="preserve"> ed., 2013, p 1572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90800"/>
    <w:multiLevelType w:val="hybridMultilevel"/>
    <w:tmpl w:val="966AE220"/>
    <w:lvl w:ilvl="0" w:tplc="6B423A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CB354BA"/>
    <w:multiLevelType w:val="hybridMultilevel"/>
    <w:tmpl w:val="A5FC1CEE"/>
    <w:lvl w:ilvl="0" w:tplc="56160A1E">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43832840"/>
    <w:multiLevelType w:val="hybridMultilevel"/>
    <w:tmpl w:val="BE1A6214"/>
    <w:lvl w:ilvl="0" w:tplc="A32678C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AAE2C20"/>
    <w:multiLevelType w:val="hybridMultilevel"/>
    <w:tmpl w:val="7DB27180"/>
    <w:lvl w:ilvl="0" w:tplc="E0F0190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DBA1A2F"/>
    <w:multiLevelType w:val="hybridMultilevel"/>
    <w:tmpl w:val="DE725360"/>
    <w:lvl w:ilvl="0" w:tplc="3A9035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33614F7"/>
    <w:multiLevelType w:val="hybridMultilevel"/>
    <w:tmpl w:val="01D0D2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443269"/>
    <w:multiLevelType w:val="hybridMultilevel"/>
    <w:tmpl w:val="6784A864"/>
    <w:lvl w:ilvl="0" w:tplc="F56E111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598E5D55"/>
    <w:multiLevelType w:val="hybridMultilevel"/>
    <w:tmpl w:val="387EBAF0"/>
    <w:lvl w:ilvl="0" w:tplc="7AE6566E">
      <w:start w:val="2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BB15BFB"/>
    <w:multiLevelType w:val="hybridMultilevel"/>
    <w:tmpl w:val="404E3C54"/>
    <w:lvl w:ilvl="0" w:tplc="C9AA2A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D8C040D"/>
    <w:multiLevelType w:val="hybridMultilevel"/>
    <w:tmpl w:val="9CBE8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426070"/>
    <w:multiLevelType w:val="hybridMultilevel"/>
    <w:tmpl w:val="FB987EA0"/>
    <w:lvl w:ilvl="0" w:tplc="1FB856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1"/>
  </w:num>
  <w:num w:numId="3">
    <w:abstractNumId w:val="6"/>
  </w:num>
  <w:num w:numId="4">
    <w:abstractNumId w:val="2"/>
  </w:num>
  <w:num w:numId="5">
    <w:abstractNumId w:val="3"/>
  </w:num>
  <w:num w:numId="6">
    <w:abstractNumId w:val="8"/>
  </w:num>
  <w:num w:numId="7">
    <w:abstractNumId w:val="0"/>
  </w:num>
  <w:num w:numId="8">
    <w:abstractNumId w:val="4"/>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C7"/>
    <w:rsid w:val="00017158"/>
    <w:rsid w:val="00022DA1"/>
    <w:rsid w:val="0002520C"/>
    <w:rsid w:val="00052FB0"/>
    <w:rsid w:val="00060C3C"/>
    <w:rsid w:val="000744D1"/>
    <w:rsid w:val="00080C84"/>
    <w:rsid w:val="00085F66"/>
    <w:rsid w:val="000E4F9B"/>
    <w:rsid w:val="00147881"/>
    <w:rsid w:val="00164F07"/>
    <w:rsid w:val="0019698E"/>
    <w:rsid w:val="001B73AB"/>
    <w:rsid w:val="001C5581"/>
    <w:rsid w:val="00225204"/>
    <w:rsid w:val="00240834"/>
    <w:rsid w:val="00241B3F"/>
    <w:rsid w:val="0028151A"/>
    <w:rsid w:val="002833EB"/>
    <w:rsid w:val="00290647"/>
    <w:rsid w:val="0029308E"/>
    <w:rsid w:val="002978A4"/>
    <w:rsid w:val="002B062A"/>
    <w:rsid w:val="002D79E1"/>
    <w:rsid w:val="002E6FC7"/>
    <w:rsid w:val="002F34FC"/>
    <w:rsid w:val="00313178"/>
    <w:rsid w:val="00341025"/>
    <w:rsid w:val="00343F43"/>
    <w:rsid w:val="00376E0A"/>
    <w:rsid w:val="003823BE"/>
    <w:rsid w:val="003D632A"/>
    <w:rsid w:val="003E078A"/>
    <w:rsid w:val="004105D3"/>
    <w:rsid w:val="0042154D"/>
    <w:rsid w:val="00422405"/>
    <w:rsid w:val="00443BAE"/>
    <w:rsid w:val="0045706A"/>
    <w:rsid w:val="004660CA"/>
    <w:rsid w:val="004B2A29"/>
    <w:rsid w:val="004E0B3F"/>
    <w:rsid w:val="004E33FB"/>
    <w:rsid w:val="004F2340"/>
    <w:rsid w:val="004F666A"/>
    <w:rsid w:val="005074FF"/>
    <w:rsid w:val="00521E35"/>
    <w:rsid w:val="00537463"/>
    <w:rsid w:val="005471DC"/>
    <w:rsid w:val="005608A5"/>
    <w:rsid w:val="00564B52"/>
    <w:rsid w:val="00583329"/>
    <w:rsid w:val="005B7D11"/>
    <w:rsid w:val="005C1205"/>
    <w:rsid w:val="005C1588"/>
    <w:rsid w:val="005E2DC7"/>
    <w:rsid w:val="00633A95"/>
    <w:rsid w:val="006434C5"/>
    <w:rsid w:val="00675724"/>
    <w:rsid w:val="006979E9"/>
    <w:rsid w:val="006A2CE8"/>
    <w:rsid w:val="00713A4A"/>
    <w:rsid w:val="00723A87"/>
    <w:rsid w:val="00732FFB"/>
    <w:rsid w:val="00764002"/>
    <w:rsid w:val="00780158"/>
    <w:rsid w:val="00792CBD"/>
    <w:rsid w:val="007A1ACD"/>
    <w:rsid w:val="007B1926"/>
    <w:rsid w:val="007B4217"/>
    <w:rsid w:val="007E6F19"/>
    <w:rsid w:val="007F6753"/>
    <w:rsid w:val="00832D21"/>
    <w:rsid w:val="00833BE6"/>
    <w:rsid w:val="008462C8"/>
    <w:rsid w:val="00863F13"/>
    <w:rsid w:val="008A3E66"/>
    <w:rsid w:val="008F1027"/>
    <w:rsid w:val="008F3A7E"/>
    <w:rsid w:val="008F4AFC"/>
    <w:rsid w:val="00911A0F"/>
    <w:rsid w:val="00912EAA"/>
    <w:rsid w:val="0091673A"/>
    <w:rsid w:val="00934929"/>
    <w:rsid w:val="00936632"/>
    <w:rsid w:val="00941AB9"/>
    <w:rsid w:val="009545A1"/>
    <w:rsid w:val="009642E9"/>
    <w:rsid w:val="009916D8"/>
    <w:rsid w:val="00992D2A"/>
    <w:rsid w:val="009C0579"/>
    <w:rsid w:val="009D1EBC"/>
    <w:rsid w:val="009D4A2A"/>
    <w:rsid w:val="009F5604"/>
    <w:rsid w:val="00A16840"/>
    <w:rsid w:val="00A3478B"/>
    <w:rsid w:val="00A36199"/>
    <w:rsid w:val="00A57B16"/>
    <w:rsid w:val="00A706AB"/>
    <w:rsid w:val="00A76209"/>
    <w:rsid w:val="00AC604E"/>
    <w:rsid w:val="00B056AE"/>
    <w:rsid w:val="00B122B2"/>
    <w:rsid w:val="00B162B1"/>
    <w:rsid w:val="00B249E9"/>
    <w:rsid w:val="00B3239A"/>
    <w:rsid w:val="00B34105"/>
    <w:rsid w:val="00B4373F"/>
    <w:rsid w:val="00B43FC0"/>
    <w:rsid w:val="00B649BF"/>
    <w:rsid w:val="00B703DE"/>
    <w:rsid w:val="00B72BD1"/>
    <w:rsid w:val="00B8601B"/>
    <w:rsid w:val="00B97602"/>
    <w:rsid w:val="00BC5AF8"/>
    <w:rsid w:val="00BD41E2"/>
    <w:rsid w:val="00BD6044"/>
    <w:rsid w:val="00BF6E18"/>
    <w:rsid w:val="00C05EFA"/>
    <w:rsid w:val="00C66249"/>
    <w:rsid w:val="00C91DC2"/>
    <w:rsid w:val="00C96E4D"/>
    <w:rsid w:val="00C972F2"/>
    <w:rsid w:val="00CC004F"/>
    <w:rsid w:val="00CC4F22"/>
    <w:rsid w:val="00CE144E"/>
    <w:rsid w:val="00CE5A31"/>
    <w:rsid w:val="00D0329D"/>
    <w:rsid w:val="00D14F8B"/>
    <w:rsid w:val="00D21E61"/>
    <w:rsid w:val="00D31AE4"/>
    <w:rsid w:val="00D3243E"/>
    <w:rsid w:val="00D46E66"/>
    <w:rsid w:val="00D47B9E"/>
    <w:rsid w:val="00D61DD5"/>
    <w:rsid w:val="00D62BDC"/>
    <w:rsid w:val="00D8589D"/>
    <w:rsid w:val="00DC2AC7"/>
    <w:rsid w:val="00DE46A7"/>
    <w:rsid w:val="00DE5185"/>
    <w:rsid w:val="00DF4CE6"/>
    <w:rsid w:val="00E00326"/>
    <w:rsid w:val="00E17EC4"/>
    <w:rsid w:val="00E77732"/>
    <w:rsid w:val="00EB44C2"/>
    <w:rsid w:val="00EC7BCD"/>
    <w:rsid w:val="00ED4249"/>
    <w:rsid w:val="00F3197E"/>
    <w:rsid w:val="00F43D84"/>
    <w:rsid w:val="00F47F16"/>
    <w:rsid w:val="00F53F6C"/>
    <w:rsid w:val="00F5592C"/>
    <w:rsid w:val="00F63A6B"/>
    <w:rsid w:val="00F75197"/>
    <w:rsid w:val="00F76E50"/>
    <w:rsid w:val="00F97A81"/>
    <w:rsid w:val="00FC0B59"/>
    <w:rsid w:val="00FD7267"/>
    <w:rsid w:val="00FF2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5311"/>
  <w15:chartTrackingRefBased/>
  <w15:docId w15:val="{49E60336-B065-0145-B866-C34D0772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DC7"/>
    <w:pPr>
      <w:ind w:left="720"/>
      <w:contextualSpacing/>
    </w:pPr>
  </w:style>
  <w:style w:type="paragraph" w:styleId="Footer">
    <w:name w:val="footer"/>
    <w:basedOn w:val="Normal"/>
    <w:link w:val="FooterChar"/>
    <w:uiPriority w:val="99"/>
    <w:unhideWhenUsed/>
    <w:rsid w:val="00B122B2"/>
    <w:pPr>
      <w:tabs>
        <w:tab w:val="center" w:pos="4513"/>
        <w:tab w:val="right" w:pos="9026"/>
      </w:tabs>
    </w:pPr>
  </w:style>
  <w:style w:type="character" w:customStyle="1" w:styleId="FooterChar">
    <w:name w:val="Footer Char"/>
    <w:basedOn w:val="DefaultParagraphFont"/>
    <w:link w:val="Footer"/>
    <w:uiPriority w:val="99"/>
    <w:rsid w:val="00B122B2"/>
  </w:style>
  <w:style w:type="character" w:styleId="PageNumber">
    <w:name w:val="page number"/>
    <w:basedOn w:val="DefaultParagraphFont"/>
    <w:uiPriority w:val="99"/>
    <w:semiHidden/>
    <w:unhideWhenUsed/>
    <w:rsid w:val="00B122B2"/>
  </w:style>
  <w:style w:type="paragraph" w:styleId="FootnoteText">
    <w:name w:val="footnote text"/>
    <w:basedOn w:val="Normal"/>
    <w:link w:val="FootnoteTextChar"/>
    <w:uiPriority w:val="99"/>
    <w:semiHidden/>
    <w:unhideWhenUsed/>
    <w:rsid w:val="008F1027"/>
    <w:rPr>
      <w:sz w:val="20"/>
      <w:szCs w:val="20"/>
    </w:rPr>
  </w:style>
  <w:style w:type="character" w:customStyle="1" w:styleId="FootnoteTextChar">
    <w:name w:val="Footnote Text Char"/>
    <w:basedOn w:val="DefaultParagraphFont"/>
    <w:link w:val="FootnoteText"/>
    <w:uiPriority w:val="99"/>
    <w:semiHidden/>
    <w:rsid w:val="008F1027"/>
    <w:rPr>
      <w:sz w:val="20"/>
      <w:szCs w:val="20"/>
    </w:rPr>
  </w:style>
  <w:style w:type="character" w:styleId="FootnoteReference">
    <w:name w:val="footnote reference"/>
    <w:basedOn w:val="DefaultParagraphFont"/>
    <w:uiPriority w:val="99"/>
    <w:semiHidden/>
    <w:unhideWhenUsed/>
    <w:rsid w:val="008F1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Licensing Board v Karl Secondis</dc:title>
  <dc:subject/>
  <dc:creator>Agents Licensing Board</dc:creator>
  <cp:keywords/>
  <dc:description/>
  <cp:lastModifiedBy>Gede Wirnaya</cp:lastModifiedBy>
  <cp:revision>3</cp:revision>
  <cp:lastPrinted>2022-02-10T01:58:00Z</cp:lastPrinted>
  <dcterms:created xsi:type="dcterms:W3CDTF">2022-02-11T01:45:00Z</dcterms:created>
  <dcterms:modified xsi:type="dcterms:W3CDTF">2023-08-24T00:52:00Z</dcterms:modified>
</cp:coreProperties>
</file>