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3B1E9A13F81E4FED88DC58CE8D1B8F95"/>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F71A28A" w14:textId="2E54E93D" w:rsidR="00886C9D" w:rsidRPr="00886C9D" w:rsidRDefault="00F5219C" w:rsidP="00886C9D">
          <w:pPr>
            <w:pStyle w:val="Title"/>
          </w:pPr>
          <w:r>
            <w:t>NTEM Priority Reform Program: Reliability priority changes</w:t>
          </w:r>
        </w:p>
      </w:sdtContent>
    </w:sdt>
    <w:p w14:paraId="45758C75" w14:textId="565A3E37" w:rsidR="00BD0F38" w:rsidRDefault="002C0293" w:rsidP="00E77ACA">
      <w:pPr>
        <w:pStyle w:val="Subtitle0"/>
      </w:pPr>
      <w:r>
        <w:t xml:space="preserve">Consultation </w:t>
      </w:r>
      <w:r w:rsidR="00753B60">
        <w:t>P</w:t>
      </w:r>
      <w:r w:rsidR="00764775">
        <w:t>aper</w:t>
      </w:r>
      <w:r w:rsidR="00753B60">
        <w:t>: Design</w:t>
      </w:r>
      <w:r w:rsidR="00616D9F">
        <w:t xml:space="preserve"> of the</w:t>
      </w:r>
      <w:r w:rsidR="00C37203">
        <w:t xml:space="preserve"> </w:t>
      </w:r>
      <w:r w:rsidR="00616D9F">
        <w:t>capacity mechanism</w:t>
      </w:r>
    </w:p>
    <w:p w14:paraId="4343BCD4" w14:textId="48C24AEE" w:rsidR="002C0293" w:rsidRDefault="002D2F2F" w:rsidP="00E77ACA">
      <w:pPr>
        <w:pStyle w:val="Subtitle0"/>
      </w:pPr>
      <w:r w:rsidRPr="002D2F2F">
        <w:t>January</w:t>
      </w:r>
      <w:r w:rsidR="00B44269">
        <w:t xml:space="preserve"> 2021</w:t>
      </w:r>
      <w:r>
        <w:t xml:space="preserve"> </w:t>
      </w:r>
    </w:p>
    <w:p w14:paraId="08F91F89" w14:textId="7C651847" w:rsidR="00137081" w:rsidRDefault="00137081" w:rsidP="002C0B0F">
      <w:r>
        <w:br w:type="page"/>
      </w:r>
    </w:p>
    <w:p w14:paraId="2A0B1999" w14:textId="77777777" w:rsidR="00137081" w:rsidRDefault="00137081" w:rsidP="00137081">
      <w:r w:rsidRPr="00901DCB">
        <w:lastRenderedPageBreak/>
        <w:t>Published by the</w:t>
      </w:r>
      <w:r>
        <w:t xml:space="preserve"> Northern Territory Government. </w:t>
      </w:r>
      <w:r w:rsidRPr="00901DCB">
        <w:t xml:space="preserve">Apart from any use permitted under the </w:t>
      </w:r>
      <w:r w:rsidRPr="00901DCB">
        <w:rPr>
          <w:i/>
        </w:rPr>
        <w:t>Copyright Act</w:t>
      </w:r>
      <w:r w:rsidRPr="00901DCB">
        <w:t xml:space="preserve">, no part of this document may be reproduced without prior written permission from the Northern Territory Government through the Department of Treasury and Finance and the Department of </w:t>
      </w:r>
      <w:r>
        <w:t>Industry, Tourism and Trade</w:t>
      </w:r>
      <w:r w:rsidRPr="00901DCB">
        <w:t>.</w:t>
      </w:r>
    </w:p>
    <w:p w14:paraId="4D6145E4" w14:textId="6DF8D4EA" w:rsidR="00137081" w:rsidRDefault="00137081" w:rsidP="002C0B0F"/>
    <w:p w14:paraId="16BD5B8B" w14:textId="77777777" w:rsidR="002C0293" w:rsidRPr="00E77ACA" w:rsidRDefault="002C0293" w:rsidP="00E77ACA">
      <w:pPr>
        <w:pStyle w:val="Subtitle0"/>
        <w:sectPr w:rsidR="002C0293"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bookmarkStart w:id="0" w:name="_GoBack" w:displacedByCustomXml="prev"/>
        <w:p w14:paraId="255E8B64" w14:textId="77777777" w:rsidR="00964B22" w:rsidRPr="00422874" w:rsidRDefault="00964B22" w:rsidP="00F479D5">
          <w:pPr>
            <w:pStyle w:val="TOCHeading"/>
            <w:tabs>
              <w:tab w:val="left" w:pos="8601"/>
            </w:tabs>
            <w:rPr>
              <w:lang w:eastAsia="ja-JP"/>
            </w:rPr>
          </w:pPr>
          <w:r w:rsidRPr="00422874">
            <w:t>Contents</w:t>
          </w:r>
        </w:p>
        <w:p w14:paraId="2B5B1BD7" w14:textId="3EA98B61" w:rsidR="004E1819"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59188457" w:history="1">
            <w:r w:rsidR="004E1819" w:rsidRPr="00D63F1C">
              <w:rPr>
                <w:rStyle w:val="Hyperlink"/>
                <w:noProof/>
                <w:lang w:eastAsia="en-AU"/>
              </w:rPr>
              <w:t>1. Introduction</w:t>
            </w:r>
            <w:r w:rsidR="004E1819">
              <w:rPr>
                <w:noProof/>
                <w:webHidden/>
              </w:rPr>
              <w:tab/>
            </w:r>
            <w:r w:rsidR="004E1819">
              <w:rPr>
                <w:noProof/>
                <w:webHidden/>
              </w:rPr>
              <w:fldChar w:fldCharType="begin"/>
            </w:r>
            <w:r w:rsidR="004E1819">
              <w:rPr>
                <w:noProof/>
                <w:webHidden/>
              </w:rPr>
              <w:instrText xml:space="preserve"> PAGEREF _Toc59188457 \h </w:instrText>
            </w:r>
            <w:r w:rsidR="004E1819">
              <w:rPr>
                <w:noProof/>
                <w:webHidden/>
              </w:rPr>
            </w:r>
            <w:r w:rsidR="004E1819">
              <w:rPr>
                <w:noProof/>
                <w:webHidden/>
              </w:rPr>
              <w:fldChar w:fldCharType="separate"/>
            </w:r>
            <w:r w:rsidR="00AA22FA">
              <w:rPr>
                <w:noProof/>
                <w:webHidden/>
              </w:rPr>
              <w:t>4</w:t>
            </w:r>
            <w:r w:rsidR="004E1819">
              <w:rPr>
                <w:noProof/>
                <w:webHidden/>
              </w:rPr>
              <w:fldChar w:fldCharType="end"/>
            </w:r>
          </w:hyperlink>
        </w:p>
        <w:p w14:paraId="6147DC86" w14:textId="57FE9621" w:rsidR="004E1819" w:rsidRDefault="00AA22FA">
          <w:pPr>
            <w:pStyle w:val="TOC1"/>
            <w:rPr>
              <w:rFonts w:asciiTheme="minorHAnsi" w:eastAsiaTheme="minorEastAsia" w:hAnsiTheme="minorHAnsi" w:cstheme="minorBidi"/>
              <w:b w:val="0"/>
              <w:noProof/>
              <w:lang w:eastAsia="en-AU"/>
            </w:rPr>
          </w:pPr>
          <w:hyperlink w:anchor="_Toc59188458" w:history="1">
            <w:r w:rsidR="004E1819" w:rsidRPr="00D63F1C">
              <w:rPr>
                <w:rStyle w:val="Hyperlink"/>
                <w:noProof/>
                <w:lang w:eastAsia="en-AU"/>
              </w:rPr>
              <w:t>2. Reliability standard and assessment framework</w:t>
            </w:r>
            <w:r w:rsidR="004E1819">
              <w:rPr>
                <w:noProof/>
                <w:webHidden/>
              </w:rPr>
              <w:tab/>
            </w:r>
            <w:r w:rsidR="004E1819">
              <w:rPr>
                <w:noProof/>
                <w:webHidden/>
              </w:rPr>
              <w:fldChar w:fldCharType="begin"/>
            </w:r>
            <w:r w:rsidR="004E1819">
              <w:rPr>
                <w:noProof/>
                <w:webHidden/>
              </w:rPr>
              <w:instrText xml:space="preserve"> PAGEREF _Toc59188458 \h </w:instrText>
            </w:r>
            <w:r w:rsidR="004E1819">
              <w:rPr>
                <w:noProof/>
                <w:webHidden/>
              </w:rPr>
            </w:r>
            <w:r w:rsidR="004E1819">
              <w:rPr>
                <w:noProof/>
                <w:webHidden/>
              </w:rPr>
              <w:fldChar w:fldCharType="separate"/>
            </w:r>
            <w:r>
              <w:rPr>
                <w:noProof/>
                <w:webHidden/>
              </w:rPr>
              <w:t>4</w:t>
            </w:r>
            <w:r w:rsidR="004E1819">
              <w:rPr>
                <w:noProof/>
                <w:webHidden/>
              </w:rPr>
              <w:fldChar w:fldCharType="end"/>
            </w:r>
          </w:hyperlink>
        </w:p>
        <w:p w14:paraId="1CE3DD38" w14:textId="4FE61519" w:rsidR="004E1819" w:rsidRDefault="00AA22FA">
          <w:pPr>
            <w:pStyle w:val="TOC2"/>
            <w:rPr>
              <w:rFonts w:asciiTheme="minorHAnsi" w:eastAsiaTheme="minorEastAsia" w:hAnsiTheme="minorHAnsi" w:cstheme="minorBidi"/>
              <w:noProof/>
              <w:lang w:eastAsia="en-AU"/>
            </w:rPr>
          </w:pPr>
          <w:hyperlink w:anchor="_Toc59188459" w:history="1">
            <w:r w:rsidR="004E1819" w:rsidRPr="00D63F1C">
              <w:rPr>
                <w:rStyle w:val="Hyperlink"/>
                <w:noProof/>
                <w:lang w:eastAsia="en-AU"/>
              </w:rPr>
              <w:t>2.1. Form and level of the reliability standard</w:t>
            </w:r>
            <w:r w:rsidR="004E1819">
              <w:rPr>
                <w:noProof/>
                <w:webHidden/>
              </w:rPr>
              <w:tab/>
            </w:r>
            <w:r w:rsidR="004E1819">
              <w:rPr>
                <w:noProof/>
                <w:webHidden/>
              </w:rPr>
              <w:fldChar w:fldCharType="begin"/>
            </w:r>
            <w:r w:rsidR="004E1819">
              <w:rPr>
                <w:noProof/>
                <w:webHidden/>
              </w:rPr>
              <w:instrText xml:space="preserve"> PAGEREF _Toc59188459 \h </w:instrText>
            </w:r>
            <w:r w:rsidR="004E1819">
              <w:rPr>
                <w:noProof/>
                <w:webHidden/>
              </w:rPr>
            </w:r>
            <w:r w:rsidR="004E1819">
              <w:rPr>
                <w:noProof/>
                <w:webHidden/>
              </w:rPr>
              <w:fldChar w:fldCharType="separate"/>
            </w:r>
            <w:r>
              <w:rPr>
                <w:noProof/>
                <w:webHidden/>
              </w:rPr>
              <w:t>5</w:t>
            </w:r>
            <w:r w:rsidR="004E1819">
              <w:rPr>
                <w:noProof/>
                <w:webHidden/>
              </w:rPr>
              <w:fldChar w:fldCharType="end"/>
            </w:r>
          </w:hyperlink>
        </w:p>
        <w:p w14:paraId="6CAA6D55" w14:textId="74AF9DF2" w:rsidR="004E1819" w:rsidRDefault="00AA22FA">
          <w:pPr>
            <w:pStyle w:val="TOC2"/>
            <w:rPr>
              <w:rFonts w:asciiTheme="minorHAnsi" w:eastAsiaTheme="minorEastAsia" w:hAnsiTheme="minorHAnsi" w:cstheme="minorBidi"/>
              <w:noProof/>
              <w:lang w:eastAsia="en-AU"/>
            </w:rPr>
          </w:pPr>
          <w:hyperlink w:anchor="_Toc59188460" w:history="1">
            <w:r w:rsidR="004E1819" w:rsidRPr="00D63F1C">
              <w:rPr>
                <w:rStyle w:val="Hyperlink"/>
                <w:noProof/>
                <w:lang w:eastAsia="en-AU"/>
              </w:rPr>
              <w:t>2.2. The Reliability Manager</w:t>
            </w:r>
            <w:r w:rsidR="004E1819">
              <w:rPr>
                <w:noProof/>
                <w:webHidden/>
              </w:rPr>
              <w:tab/>
            </w:r>
            <w:r w:rsidR="004E1819">
              <w:rPr>
                <w:noProof/>
                <w:webHidden/>
              </w:rPr>
              <w:fldChar w:fldCharType="begin"/>
            </w:r>
            <w:r w:rsidR="004E1819">
              <w:rPr>
                <w:noProof/>
                <w:webHidden/>
              </w:rPr>
              <w:instrText xml:space="preserve"> PAGEREF _Toc59188460 \h </w:instrText>
            </w:r>
            <w:r w:rsidR="004E1819">
              <w:rPr>
                <w:noProof/>
                <w:webHidden/>
              </w:rPr>
            </w:r>
            <w:r w:rsidR="004E1819">
              <w:rPr>
                <w:noProof/>
                <w:webHidden/>
              </w:rPr>
              <w:fldChar w:fldCharType="separate"/>
            </w:r>
            <w:r>
              <w:rPr>
                <w:noProof/>
                <w:webHidden/>
              </w:rPr>
              <w:t>5</w:t>
            </w:r>
            <w:r w:rsidR="004E1819">
              <w:rPr>
                <w:noProof/>
                <w:webHidden/>
              </w:rPr>
              <w:fldChar w:fldCharType="end"/>
            </w:r>
          </w:hyperlink>
        </w:p>
        <w:p w14:paraId="6131345D" w14:textId="17387009" w:rsidR="004E1819" w:rsidRDefault="00AA22FA">
          <w:pPr>
            <w:pStyle w:val="TOC1"/>
            <w:rPr>
              <w:rFonts w:asciiTheme="minorHAnsi" w:eastAsiaTheme="minorEastAsia" w:hAnsiTheme="minorHAnsi" w:cstheme="minorBidi"/>
              <w:b w:val="0"/>
              <w:noProof/>
              <w:lang w:eastAsia="en-AU"/>
            </w:rPr>
          </w:pPr>
          <w:hyperlink w:anchor="_Toc59188461" w:history="1">
            <w:r w:rsidR="004E1819" w:rsidRPr="00D63F1C">
              <w:rPr>
                <w:rStyle w:val="Hyperlink"/>
                <w:noProof/>
                <w:lang w:eastAsia="en-AU"/>
              </w:rPr>
              <w:t>3. Approaches to achieving the reliability standard</w:t>
            </w:r>
            <w:r w:rsidR="004E1819">
              <w:rPr>
                <w:noProof/>
                <w:webHidden/>
              </w:rPr>
              <w:tab/>
            </w:r>
            <w:r w:rsidR="004E1819">
              <w:rPr>
                <w:noProof/>
                <w:webHidden/>
              </w:rPr>
              <w:fldChar w:fldCharType="begin"/>
            </w:r>
            <w:r w:rsidR="004E1819">
              <w:rPr>
                <w:noProof/>
                <w:webHidden/>
              </w:rPr>
              <w:instrText xml:space="preserve"> PAGEREF _Toc59188461 \h </w:instrText>
            </w:r>
            <w:r w:rsidR="004E1819">
              <w:rPr>
                <w:noProof/>
                <w:webHidden/>
              </w:rPr>
            </w:r>
            <w:r w:rsidR="004E1819">
              <w:rPr>
                <w:noProof/>
                <w:webHidden/>
              </w:rPr>
              <w:fldChar w:fldCharType="separate"/>
            </w:r>
            <w:r>
              <w:rPr>
                <w:noProof/>
                <w:webHidden/>
              </w:rPr>
              <w:t>6</w:t>
            </w:r>
            <w:r w:rsidR="004E1819">
              <w:rPr>
                <w:noProof/>
                <w:webHidden/>
              </w:rPr>
              <w:fldChar w:fldCharType="end"/>
            </w:r>
          </w:hyperlink>
        </w:p>
        <w:p w14:paraId="37B2AF93" w14:textId="2020591F" w:rsidR="004E1819" w:rsidRDefault="00AA22FA">
          <w:pPr>
            <w:pStyle w:val="TOC2"/>
            <w:rPr>
              <w:rFonts w:asciiTheme="minorHAnsi" w:eastAsiaTheme="minorEastAsia" w:hAnsiTheme="minorHAnsi" w:cstheme="minorBidi"/>
              <w:noProof/>
              <w:lang w:eastAsia="en-AU"/>
            </w:rPr>
          </w:pPr>
          <w:hyperlink w:anchor="_Toc59188462" w:history="1">
            <w:r w:rsidR="004E1819" w:rsidRPr="00D63F1C">
              <w:rPr>
                <w:rStyle w:val="Hyperlink"/>
                <w:noProof/>
                <w:lang w:eastAsia="en-AU"/>
              </w:rPr>
              <w:t>3.1. Options for ensuring capacity adequacy</w:t>
            </w:r>
            <w:r w:rsidR="004E1819">
              <w:rPr>
                <w:noProof/>
                <w:webHidden/>
              </w:rPr>
              <w:tab/>
            </w:r>
            <w:r w:rsidR="004E1819">
              <w:rPr>
                <w:noProof/>
                <w:webHidden/>
              </w:rPr>
              <w:fldChar w:fldCharType="begin"/>
            </w:r>
            <w:r w:rsidR="004E1819">
              <w:rPr>
                <w:noProof/>
                <w:webHidden/>
              </w:rPr>
              <w:instrText xml:space="preserve"> PAGEREF _Toc59188462 \h </w:instrText>
            </w:r>
            <w:r w:rsidR="004E1819">
              <w:rPr>
                <w:noProof/>
                <w:webHidden/>
              </w:rPr>
            </w:r>
            <w:r w:rsidR="004E1819">
              <w:rPr>
                <w:noProof/>
                <w:webHidden/>
              </w:rPr>
              <w:fldChar w:fldCharType="separate"/>
            </w:r>
            <w:r>
              <w:rPr>
                <w:noProof/>
                <w:webHidden/>
              </w:rPr>
              <w:t>6</w:t>
            </w:r>
            <w:r w:rsidR="004E1819">
              <w:rPr>
                <w:noProof/>
                <w:webHidden/>
              </w:rPr>
              <w:fldChar w:fldCharType="end"/>
            </w:r>
          </w:hyperlink>
        </w:p>
        <w:p w14:paraId="5D06616F" w14:textId="25598887" w:rsidR="004E1819" w:rsidRDefault="00AA22FA">
          <w:pPr>
            <w:pStyle w:val="TOC2"/>
            <w:rPr>
              <w:rFonts w:asciiTheme="minorHAnsi" w:eastAsiaTheme="minorEastAsia" w:hAnsiTheme="minorHAnsi" w:cstheme="minorBidi"/>
              <w:noProof/>
              <w:lang w:eastAsia="en-AU"/>
            </w:rPr>
          </w:pPr>
          <w:hyperlink w:anchor="_Toc59188463" w:history="1">
            <w:r w:rsidR="004E1819" w:rsidRPr="00D63F1C">
              <w:rPr>
                <w:rStyle w:val="Hyperlink"/>
                <w:noProof/>
                <w:lang w:eastAsia="en-AU"/>
              </w:rPr>
              <w:t>3.2. Capacity procurement approach for the NTEM Priority Reform</w:t>
            </w:r>
            <w:r w:rsidR="004E1819">
              <w:rPr>
                <w:noProof/>
                <w:webHidden/>
              </w:rPr>
              <w:tab/>
            </w:r>
            <w:r w:rsidR="004E1819">
              <w:rPr>
                <w:noProof/>
                <w:webHidden/>
              </w:rPr>
              <w:fldChar w:fldCharType="begin"/>
            </w:r>
            <w:r w:rsidR="004E1819">
              <w:rPr>
                <w:noProof/>
                <w:webHidden/>
              </w:rPr>
              <w:instrText xml:space="preserve"> PAGEREF _Toc59188463 \h </w:instrText>
            </w:r>
            <w:r w:rsidR="004E1819">
              <w:rPr>
                <w:noProof/>
                <w:webHidden/>
              </w:rPr>
            </w:r>
            <w:r w:rsidR="004E1819">
              <w:rPr>
                <w:noProof/>
                <w:webHidden/>
              </w:rPr>
              <w:fldChar w:fldCharType="separate"/>
            </w:r>
            <w:r>
              <w:rPr>
                <w:noProof/>
                <w:webHidden/>
              </w:rPr>
              <w:t>7</w:t>
            </w:r>
            <w:r w:rsidR="004E1819">
              <w:rPr>
                <w:noProof/>
                <w:webHidden/>
              </w:rPr>
              <w:fldChar w:fldCharType="end"/>
            </w:r>
          </w:hyperlink>
        </w:p>
        <w:p w14:paraId="58D4C0A8" w14:textId="729AF597" w:rsidR="004E1819" w:rsidRDefault="00AA22FA">
          <w:pPr>
            <w:pStyle w:val="TOC1"/>
            <w:rPr>
              <w:rFonts w:asciiTheme="minorHAnsi" w:eastAsiaTheme="minorEastAsia" w:hAnsiTheme="minorHAnsi" w:cstheme="minorBidi"/>
              <w:b w:val="0"/>
              <w:noProof/>
              <w:lang w:eastAsia="en-AU"/>
            </w:rPr>
          </w:pPr>
          <w:hyperlink w:anchor="_Toc59188464" w:history="1">
            <w:r w:rsidR="004E1819" w:rsidRPr="00D63F1C">
              <w:rPr>
                <w:rStyle w:val="Hyperlink"/>
                <w:noProof/>
                <w:lang w:eastAsia="en-AU"/>
              </w:rPr>
              <w:t>4. Detailed design elements of the reliability framework</w:t>
            </w:r>
            <w:r w:rsidR="004E1819">
              <w:rPr>
                <w:noProof/>
                <w:webHidden/>
              </w:rPr>
              <w:tab/>
            </w:r>
            <w:r w:rsidR="004E1819">
              <w:rPr>
                <w:noProof/>
                <w:webHidden/>
              </w:rPr>
              <w:fldChar w:fldCharType="begin"/>
            </w:r>
            <w:r w:rsidR="004E1819">
              <w:rPr>
                <w:noProof/>
                <w:webHidden/>
              </w:rPr>
              <w:instrText xml:space="preserve"> PAGEREF _Toc59188464 \h </w:instrText>
            </w:r>
            <w:r w:rsidR="004E1819">
              <w:rPr>
                <w:noProof/>
                <w:webHidden/>
              </w:rPr>
            </w:r>
            <w:r w:rsidR="004E1819">
              <w:rPr>
                <w:noProof/>
                <w:webHidden/>
              </w:rPr>
              <w:fldChar w:fldCharType="separate"/>
            </w:r>
            <w:r>
              <w:rPr>
                <w:noProof/>
                <w:webHidden/>
              </w:rPr>
              <w:t>8</w:t>
            </w:r>
            <w:r w:rsidR="004E1819">
              <w:rPr>
                <w:noProof/>
                <w:webHidden/>
              </w:rPr>
              <w:fldChar w:fldCharType="end"/>
            </w:r>
          </w:hyperlink>
        </w:p>
        <w:p w14:paraId="74EFC4FF" w14:textId="19F8462F" w:rsidR="004E1819" w:rsidRDefault="00AA22FA">
          <w:pPr>
            <w:pStyle w:val="TOC2"/>
            <w:rPr>
              <w:rFonts w:asciiTheme="minorHAnsi" w:eastAsiaTheme="minorEastAsia" w:hAnsiTheme="minorHAnsi" w:cstheme="minorBidi"/>
              <w:noProof/>
              <w:lang w:eastAsia="en-AU"/>
            </w:rPr>
          </w:pPr>
          <w:hyperlink w:anchor="_Toc59188465" w:history="1">
            <w:r w:rsidR="004E1819" w:rsidRPr="00D63F1C">
              <w:rPr>
                <w:rStyle w:val="Hyperlink"/>
                <w:noProof/>
                <w:lang w:eastAsia="en-AU"/>
              </w:rPr>
              <w:t>4.1. Determining the forecast of required accredited capacity</w:t>
            </w:r>
            <w:r w:rsidR="004E1819">
              <w:rPr>
                <w:noProof/>
                <w:webHidden/>
              </w:rPr>
              <w:tab/>
            </w:r>
            <w:r w:rsidR="004E1819">
              <w:rPr>
                <w:noProof/>
                <w:webHidden/>
              </w:rPr>
              <w:fldChar w:fldCharType="begin"/>
            </w:r>
            <w:r w:rsidR="004E1819">
              <w:rPr>
                <w:noProof/>
                <w:webHidden/>
              </w:rPr>
              <w:instrText xml:space="preserve"> PAGEREF _Toc59188465 \h </w:instrText>
            </w:r>
            <w:r w:rsidR="004E1819">
              <w:rPr>
                <w:noProof/>
                <w:webHidden/>
              </w:rPr>
            </w:r>
            <w:r w:rsidR="004E1819">
              <w:rPr>
                <w:noProof/>
                <w:webHidden/>
              </w:rPr>
              <w:fldChar w:fldCharType="separate"/>
            </w:r>
            <w:r>
              <w:rPr>
                <w:noProof/>
                <w:webHidden/>
              </w:rPr>
              <w:t>12</w:t>
            </w:r>
            <w:r w:rsidR="004E1819">
              <w:rPr>
                <w:noProof/>
                <w:webHidden/>
              </w:rPr>
              <w:fldChar w:fldCharType="end"/>
            </w:r>
          </w:hyperlink>
        </w:p>
        <w:p w14:paraId="2D654DEB" w14:textId="6FF37B55" w:rsidR="004E1819" w:rsidRDefault="00AA22FA">
          <w:pPr>
            <w:pStyle w:val="TOC2"/>
            <w:rPr>
              <w:rFonts w:asciiTheme="minorHAnsi" w:eastAsiaTheme="minorEastAsia" w:hAnsiTheme="minorHAnsi" w:cstheme="minorBidi"/>
              <w:noProof/>
              <w:lang w:eastAsia="en-AU"/>
            </w:rPr>
          </w:pPr>
          <w:hyperlink w:anchor="_Toc59188466" w:history="1">
            <w:r w:rsidR="004E1819" w:rsidRPr="00D63F1C">
              <w:rPr>
                <w:rStyle w:val="Hyperlink"/>
                <w:noProof/>
                <w:lang w:eastAsia="en-AU"/>
              </w:rPr>
              <w:t>4.2. Allocating capacity requirements to retailers</w:t>
            </w:r>
            <w:r w:rsidR="004E1819">
              <w:rPr>
                <w:noProof/>
                <w:webHidden/>
              </w:rPr>
              <w:tab/>
            </w:r>
            <w:r w:rsidR="004E1819">
              <w:rPr>
                <w:noProof/>
                <w:webHidden/>
              </w:rPr>
              <w:fldChar w:fldCharType="begin"/>
            </w:r>
            <w:r w:rsidR="004E1819">
              <w:rPr>
                <w:noProof/>
                <w:webHidden/>
              </w:rPr>
              <w:instrText xml:space="preserve"> PAGEREF _Toc59188466 \h </w:instrText>
            </w:r>
            <w:r w:rsidR="004E1819">
              <w:rPr>
                <w:noProof/>
                <w:webHidden/>
              </w:rPr>
            </w:r>
            <w:r w:rsidR="004E1819">
              <w:rPr>
                <w:noProof/>
                <w:webHidden/>
              </w:rPr>
              <w:fldChar w:fldCharType="separate"/>
            </w:r>
            <w:r>
              <w:rPr>
                <w:noProof/>
                <w:webHidden/>
              </w:rPr>
              <w:t>13</w:t>
            </w:r>
            <w:r w:rsidR="004E1819">
              <w:rPr>
                <w:noProof/>
                <w:webHidden/>
              </w:rPr>
              <w:fldChar w:fldCharType="end"/>
            </w:r>
          </w:hyperlink>
        </w:p>
        <w:p w14:paraId="226AFDC6" w14:textId="72B44B1F" w:rsidR="004E1819" w:rsidRDefault="00AA22FA">
          <w:pPr>
            <w:pStyle w:val="TOC2"/>
            <w:rPr>
              <w:rFonts w:asciiTheme="minorHAnsi" w:eastAsiaTheme="minorEastAsia" w:hAnsiTheme="minorHAnsi" w:cstheme="minorBidi"/>
              <w:noProof/>
              <w:lang w:eastAsia="en-AU"/>
            </w:rPr>
          </w:pPr>
          <w:hyperlink w:anchor="_Toc59188467" w:history="1">
            <w:r w:rsidR="004E1819" w:rsidRPr="00D63F1C">
              <w:rPr>
                <w:rStyle w:val="Hyperlink"/>
                <w:noProof/>
                <w:lang w:eastAsia="en-AU"/>
              </w:rPr>
              <w:t>4.3. Ex-post review and reconciliation</w:t>
            </w:r>
            <w:r w:rsidR="004E1819">
              <w:rPr>
                <w:noProof/>
                <w:webHidden/>
              </w:rPr>
              <w:tab/>
            </w:r>
            <w:r w:rsidR="004E1819">
              <w:rPr>
                <w:noProof/>
                <w:webHidden/>
              </w:rPr>
              <w:fldChar w:fldCharType="begin"/>
            </w:r>
            <w:r w:rsidR="004E1819">
              <w:rPr>
                <w:noProof/>
                <w:webHidden/>
              </w:rPr>
              <w:instrText xml:space="preserve"> PAGEREF _Toc59188467 \h </w:instrText>
            </w:r>
            <w:r w:rsidR="004E1819">
              <w:rPr>
                <w:noProof/>
                <w:webHidden/>
              </w:rPr>
            </w:r>
            <w:r w:rsidR="004E1819">
              <w:rPr>
                <w:noProof/>
                <w:webHidden/>
              </w:rPr>
              <w:fldChar w:fldCharType="separate"/>
            </w:r>
            <w:r>
              <w:rPr>
                <w:noProof/>
                <w:webHidden/>
              </w:rPr>
              <w:t>13</w:t>
            </w:r>
            <w:r w:rsidR="004E1819">
              <w:rPr>
                <w:noProof/>
                <w:webHidden/>
              </w:rPr>
              <w:fldChar w:fldCharType="end"/>
            </w:r>
          </w:hyperlink>
        </w:p>
        <w:p w14:paraId="7D9660C1" w14:textId="1EC8E758" w:rsidR="004E1819" w:rsidRDefault="00AA22FA">
          <w:pPr>
            <w:pStyle w:val="TOC2"/>
            <w:rPr>
              <w:rFonts w:asciiTheme="minorHAnsi" w:eastAsiaTheme="minorEastAsia" w:hAnsiTheme="minorHAnsi" w:cstheme="minorBidi"/>
              <w:noProof/>
              <w:lang w:eastAsia="en-AU"/>
            </w:rPr>
          </w:pPr>
          <w:hyperlink w:anchor="_Toc59188468" w:history="1">
            <w:r w:rsidR="004E1819" w:rsidRPr="00D63F1C">
              <w:rPr>
                <w:rStyle w:val="Hyperlink"/>
                <w:noProof/>
                <w:lang w:eastAsia="en-AU"/>
              </w:rPr>
              <w:t>4.4. Capacity price</w:t>
            </w:r>
            <w:r w:rsidR="004E1819">
              <w:rPr>
                <w:noProof/>
                <w:webHidden/>
              </w:rPr>
              <w:tab/>
            </w:r>
            <w:r w:rsidR="004E1819">
              <w:rPr>
                <w:noProof/>
                <w:webHidden/>
              </w:rPr>
              <w:fldChar w:fldCharType="begin"/>
            </w:r>
            <w:r w:rsidR="004E1819">
              <w:rPr>
                <w:noProof/>
                <w:webHidden/>
              </w:rPr>
              <w:instrText xml:space="preserve"> PAGEREF _Toc59188468 \h </w:instrText>
            </w:r>
            <w:r w:rsidR="004E1819">
              <w:rPr>
                <w:noProof/>
                <w:webHidden/>
              </w:rPr>
            </w:r>
            <w:r w:rsidR="004E1819">
              <w:rPr>
                <w:noProof/>
                <w:webHidden/>
              </w:rPr>
              <w:fldChar w:fldCharType="separate"/>
            </w:r>
            <w:r>
              <w:rPr>
                <w:noProof/>
                <w:webHidden/>
              </w:rPr>
              <w:t>14</w:t>
            </w:r>
            <w:r w:rsidR="004E1819">
              <w:rPr>
                <w:noProof/>
                <w:webHidden/>
              </w:rPr>
              <w:fldChar w:fldCharType="end"/>
            </w:r>
          </w:hyperlink>
        </w:p>
        <w:p w14:paraId="0D0AC56D" w14:textId="215F98DA" w:rsidR="004E1819" w:rsidRDefault="00AA22FA">
          <w:pPr>
            <w:pStyle w:val="TOC1"/>
            <w:rPr>
              <w:rFonts w:asciiTheme="minorHAnsi" w:eastAsiaTheme="minorEastAsia" w:hAnsiTheme="minorHAnsi" w:cstheme="minorBidi"/>
              <w:b w:val="0"/>
              <w:noProof/>
              <w:lang w:eastAsia="en-AU"/>
            </w:rPr>
          </w:pPr>
          <w:hyperlink w:anchor="_Toc59188469" w:history="1">
            <w:r w:rsidR="004E1819" w:rsidRPr="00D63F1C">
              <w:rPr>
                <w:rStyle w:val="Hyperlink"/>
                <w:noProof/>
                <w:lang w:eastAsia="en-AU"/>
              </w:rPr>
              <w:t>5. Accreditation of capacity</w:t>
            </w:r>
            <w:r w:rsidR="004E1819">
              <w:rPr>
                <w:noProof/>
                <w:webHidden/>
              </w:rPr>
              <w:tab/>
            </w:r>
            <w:r w:rsidR="004E1819">
              <w:rPr>
                <w:noProof/>
                <w:webHidden/>
              </w:rPr>
              <w:fldChar w:fldCharType="begin"/>
            </w:r>
            <w:r w:rsidR="004E1819">
              <w:rPr>
                <w:noProof/>
                <w:webHidden/>
              </w:rPr>
              <w:instrText xml:space="preserve"> PAGEREF _Toc59188469 \h </w:instrText>
            </w:r>
            <w:r w:rsidR="004E1819">
              <w:rPr>
                <w:noProof/>
                <w:webHidden/>
              </w:rPr>
            </w:r>
            <w:r w:rsidR="004E1819">
              <w:rPr>
                <w:noProof/>
                <w:webHidden/>
              </w:rPr>
              <w:fldChar w:fldCharType="separate"/>
            </w:r>
            <w:r>
              <w:rPr>
                <w:noProof/>
                <w:webHidden/>
              </w:rPr>
              <w:t>15</w:t>
            </w:r>
            <w:r w:rsidR="004E1819">
              <w:rPr>
                <w:noProof/>
                <w:webHidden/>
              </w:rPr>
              <w:fldChar w:fldCharType="end"/>
            </w:r>
          </w:hyperlink>
        </w:p>
        <w:p w14:paraId="71449D11" w14:textId="36BD754F" w:rsidR="004E1819" w:rsidRDefault="00AA22FA">
          <w:pPr>
            <w:pStyle w:val="TOC2"/>
            <w:rPr>
              <w:rFonts w:asciiTheme="minorHAnsi" w:eastAsiaTheme="minorEastAsia" w:hAnsiTheme="minorHAnsi" w:cstheme="minorBidi"/>
              <w:noProof/>
              <w:lang w:eastAsia="en-AU"/>
            </w:rPr>
          </w:pPr>
          <w:hyperlink w:anchor="_Toc59188470" w:history="1">
            <w:r w:rsidR="004E1819" w:rsidRPr="00D63F1C">
              <w:rPr>
                <w:rStyle w:val="Hyperlink"/>
                <w:noProof/>
                <w:lang w:eastAsia="en-AU"/>
              </w:rPr>
              <w:t>5.1. Controllable capacity</w:t>
            </w:r>
            <w:r w:rsidR="004E1819">
              <w:rPr>
                <w:noProof/>
                <w:webHidden/>
              </w:rPr>
              <w:tab/>
            </w:r>
            <w:r w:rsidR="004E1819">
              <w:rPr>
                <w:noProof/>
                <w:webHidden/>
              </w:rPr>
              <w:fldChar w:fldCharType="begin"/>
            </w:r>
            <w:r w:rsidR="004E1819">
              <w:rPr>
                <w:noProof/>
                <w:webHidden/>
              </w:rPr>
              <w:instrText xml:space="preserve"> PAGEREF _Toc59188470 \h </w:instrText>
            </w:r>
            <w:r w:rsidR="004E1819">
              <w:rPr>
                <w:noProof/>
                <w:webHidden/>
              </w:rPr>
            </w:r>
            <w:r w:rsidR="004E1819">
              <w:rPr>
                <w:noProof/>
                <w:webHidden/>
              </w:rPr>
              <w:fldChar w:fldCharType="separate"/>
            </w:r>
            <w:r>
              <w:rPr>
                <w:noProof/>
                <w:webHidden/>
              </w:rPr>
              <w:t>16</w:t>
            </w:r>
            <w:r w:rsidR="004E1819">
              <w:rPr>
                <w:noProof/>
                <w:webHidden/>
              </w:rPr>
              <w:fldChar w:fldCharType="end"/>
            </w:r>
          </w:hyperlink>
        </w:p>
        <w:p w14:paraId="704A9766" w14:textId="087EAB7F" w:rsidR="004E1819" w:rsidRDefault="00AA22FA">
          <w:pPr>
            <w:pStyle w:val="TOC2"/>
            <w:rPr>
              <w:rFonts w:asciiTheme="minorHAnsi" w:eastAsiaTheme="minorEastAsia" w:hAnsiTheme="minorHAnsi" w:cstheme="minorBidi"/>
              <w:noProof/>
              <w:lang w:eastAsia="en-AU"/>
            </w:rPr>
          </w:pPr>
          <w:hyperlink w:anchor="_Toc59188471" w:history="1">
            <w:r w:rsidR="004E1819" w:rsidRPr="00D63F1C">
              <w:rPr>
                <w:rStyle w:val="Hyperlink"/>
                <w:noProof/>
                <w:lang w:eastAsia="en-AU"/>
              </w:rPr>
              <w:t>5.2. Intermittent generation and storage</w:t>
            </w:r>
            <w:r w:rsidR="004E1819">
              <w:rPr>
                <w:noProof/>
                <w:webHidden/>
              </w:rPr>
              <w:tab/>
            </w:r>
            <w:r w:rsidR="004E1819">
              <w:rPr>
                <w:noProof/>
                <w:webHidden/>
              </w:rPr>
              <w:fldChar w:fldCharType="begin"/>
            </w:r>
            <w:r w:rsidR="004E1819">
              <w:rPr>
                <w:noProof/>
                <w:webHidden/>
              </w:rPr>
              <w:instrText xml:space="preserve"> PAGEREF _Toc59188471 \h </w:instrText>
            </w:r>
            <w:r w:rsidR="004E1819">
              <w:rPr>
                <w:noProof/>
                <w:webHidden/>
              </w:rPr>
            </w:r>
            <w:r w:rsidR="004E1819">
              <w:rPr>
                <w:noProof/>
                <w:webHidden/>
              </w:rPr>
              <w:fldChar w:fldCharType="separate"/>
            </w:r>
            <w:r>
              <w:rPr>
                <w:noProof/>
                <w:webHidden/>
              </w:rPr>
              <w:t>17</w:t>
            </w:r>
            <w:r w:rsidR="004E1819">
              <w:rPr>
                <w:noProof/>
                <w:webHidden/>
              </w:rPr>
              <w:fldChar w:fldCharType="end"/>
            </w:r>
          </w:hyperlink>
        </w:p>
        <w:p w14:paraId="789F1891" w14:textId="3F35B26D" w:rsidR="004E1819" w:rsidRDefault="00AA22FA">
          <w:pPr>
            <w:pStyle w:val="TOC2"/>
            <w:rPr>
              <w:rFonts w:asciiTheme="minorHAnsi" w:eastAsiaTheme="minorEastAsia" w:hAnsiTheme="minorHAnsi" w:cstheme="minorBidi"/>
              <w:noProof/>
              <w:lang w:eastAsia="en-AU"/>
            </w:rPr>
          </w:pPr>
          <w:hyperlink w:anchor="_Toc59188472" w:history="1">
            <w:r w:rsidR="004E1819" w:rsidRPr="00D63F1C">
              <w:rPr>
                <w:rStyle w:val="Hyperlink"/>
                <w:noProof/>
                <w:lang w:eastAsia="en-AU"/>
              </w:rPr>
              <w:t>5.3. New entrant impact on accreditation</w:t>
            </w:r>
            <w:r w:rsidR="004E1819">
              <w:rPr>
                <w:noProof/>
                <w:webHidden/>
              </w:rPr>
              <w:tab/>
            </w:r>
            <w:r w:rsidR="004E1819">
              <w:rPr>
                <w:noProof/>
                <w:webHidden/>
              </w:rPr>
              <w:fldChar w:fldCharType="begin"/>
            </w:r>
            <w:r w:rsidR="004E1819">
              <w:rPr>
                <w:noProof/>
                <w:webHidden/>
              </w:rPr>
              <w:instrText xml:space="preserve"> PAGEREF _Toc59188472 \h </w:instrText>
            </w:r>
            <w:r w:rsidR="004E1819">
              <w:rPr>
                <w:noProof/>
                <w:webHidden/>
              </w:rPr>
            </w:r>
            <w:r w:rsidR="004E1819">
              <w:rPr>
                <w:noProof/>
                <w:webHidden/>
              </w:rPr>
              <w:fldChar w:fldCharType="separate"/>
            </w:r>
            <w:r>
              <w:rPr>
                <w:noProof/>
                <w:webHidden/>
              </w:rPr>
              <w:t>18</w:t>
            </w:r>
            <w:r w:rsidR="004E1819">
              <w:rPr>
                <w:noProof/>
                <w:webHidden/>
              </w:rPr>
              <w:fldChar w:fldCharType="end"/>
            </w:r>
          </w:hyperlink>
        </w:p>
        <w:p w14:paraId="0A7E5DE7" w14:textId="31D3370D" w:rsidR="004E1819" w:rsidRDefault="00AA22FA">
          <w:pPr>
            <w:pStyle w:val="TOC1"/>
            <w:rPr>
              <w:rFonts w:asciiTheme="minorHAnsi" w:eastAsiaTheme="minorEastAsia" w:hAnsiTheme="minorHAnsi" w:cstheme="minorBidi"/>
              <w:b w:val="0"/>
              <w:noProof/>
              <w:lang w:eastAsia="en-AU"/>
            </w:rPr>
          </w:pPr>
          <w:hyperlink w:anchor="_Toc59188473" w:history="1">
            <w:r w:rsidR="004E1819" w:rsidRPr="00D63F1C">
              <w:rPr>
                <w:rStyle w:val="Hyperlink"/>
                <w:noProof/>
                <w:lang w:eastAsia="en-AU"/>
              </w:rPr>
              <w:t xml:space="preserve">6. Management </w:t>
            </w:r>
            <w:r w:rsidR="00E34FA0">
              <w:rPr>
                <w:rStyle w:val="Hyperlink"/>
                <w:noProof/>
                <w:lang w:eastAsia="en-AU"/>
              </w:rPr>
              <w:t>of maintenance via capacity out-of-</w:t>
            </w:r>
            <w:r w:rsidR="004E1819" w:rsidRPr="00D63F1C">
              <w:rPr>
                <w:rStyle w:val="Hyperlink"/>
                <w:noProof/>
                <w:lang w:eastAsia="en-AU"/>
              </w:rPr>
              <w:t>balance</w:t>
            </w:r>
            <w:r w:rsidR="004E1819">
              <w:rPr>
                <w:noProof/>
                <w:webHidden/>
              </w:rPr>
              <w:tab/>
            </w:r>
            <w:r w:rsidR="004E1819">
              <w:rPr>
                <w:noProof/>
                <w:webHidden/>
              </w:rPr>
              <w:fldChar w:fldCharType="begin"/>
            </w:r>
            <w:r w:rsidR="004E1819">
              <w:rPr>
                <w:noProof/>
                <w:webHidden/>
              </w:rPr>
              <w:instrText xml:space="preserve"> PAGEREF _Toc59188473 \h </w:instrText>
            </w:r>
            <w:r w:rsidR="004E1819">
              <w:rPr>
                <w:noProof/>
                <w:webHidden/>
              </w:rPr>
            </w:r>
            <w:r w:rsidR="004E1819">
              <w:rPr>
                <w:noProof/>
                <w:webHidden/>
              </w:rPr>
              <w:fldChar w:fldCharType="separate"/>
            </w:r>
            <w:r>
              <w:rPr>
                <w:noProof/>
                <w:webHidden/>
              </w:rPr>
              <w:t>20</w:t>
            </w:r>
            <w:r w:rsidR="004E1819">
              <w:rPr>
                <w:noProof/>
                <w:webHidden/>
              </w:rPr>
              <w:fldChar w:fldCharType="end"/>
            </w:r>
          </w:hyperlink>
        </w:p>
        <w:p w14:paraId="2CE517B3" w14:textId="61C60E22" w:rsidR="004E1819" w:rsidRDefault="00AA22FA">
          <w:pPr>
            <w:pStyle w:val="TOC2"/>
            <w:rPr>
              <w:rFonts w:asciiTheme="minorHAnsi" w:eastAsiaTheme="minorEastAsia" w:hAnsiTheme="minorHAnsi" w:cstheme="minorBidi"/>
              <w:noProof/>
              <w:lang w:eastAsia="en-AU"/>
            </w:rPr>
          </w:pPr>
          <w:hyperlink w:anchor="_Toc59188474" w:history="1">
            <w:r w:rsidR="004E1819" w:rsidRPr="00D63F1C">
              <w:rPr>
                <w:rStyle w:val="Hyperlink"/>
                <w:noProof/>
                <w:lang w:eastAsia="en-AU"/>
              </w:rPr>
              <w:t>6.1. Reserve factor</w:t>
            </w:r>
            <w:r w:rsidR="004E1819">
              <w:rPr>
                <w:noProof/>
                <w:webHidden/>
              </w:rPr>
              <w:tab/>
            </w:r>
            <w:r w:rsidR="004E1819">
              <w:rPr>
                <w:noProof/>
                <w:webHidden/>
              </w:rPr>
              <w:fldChar w:fldCharType="begin"/>
            </w:r>
            <w:r w:rsidR="004E1819">
              <w:rPr>
                <w:noProof/>
                <w:webHidden/>
              </w:rPr>
              <w:instrText xml:space="preserve"> PAGEREF _Toc59188474 \h </w:instrText>
            </w:r>
            <w:r w:rsidR="004E1819">
              <w:rPr>
                <w:noProof/>
                <w:webHidden/>
              </w:rPr>
            </w:r>
            <w:r w:rsidR="004E1819">
              <w:rPr>
                <w:noProof/>
                <w:webHidden/>
              </w:rPr>
              <w:fldChar w:fldCharType="separate"/>
            </w:r>
            <w:r>
              <w:rPr>
                <w:noProof/>
                <w:webHidden/>
              </w:rPr>
              <w:t>20</w:t>
            </w:r>
            <w:r w:rsidR="004E1819">
              <w:rPr>
                <w:noProof/>
                <w:webHidden/>
              </w:rPr>
              <w:fldChar w:fldCharType="end"/>
            </w:r>
          </w:hyperlink>
        </w:p>
        <w:p w14:paraId="6BCAEB04" w14:textId="1FF32153" w:rsidR="004E1819" w:rsidRDefault="00AA22FA">
          <w:pPr>
            <w:pStyle w:val="TOC2"/>
            <w:rPr>
              <w:rFonts w:asciiTheme="minorHAnsi" w:eastAsiaTheme="minorEastAsia" w:hAnsiTheme="minorHAnsi" w:cstheme="minorBidi"/>
              <w:noProof/>
              <w:lang w:eastAsia="en-AU"/>
            </w:rPr>
          </w:pPr>
          <w:hyperlink w:anchor="_Toc59188475" w:history="1">
            <w:r w:rsidR="004E1819" w:rsidRPr="00D63F1C">
              <w:rPr>
                <w:rStyle w:val="Hyperlink"/>
                <w:noProof/>
                <w:lang w:eastAsia="en-AU"/>
              </w:rPr>
              <w:t>6.2. Capping of reserve factors</w:t>
            </w:r>
            <w:r w:rsidR="004E1819">
              <w:rPr>
                <w:noProof/>
                <w:webHidden/>
              </w:rPr>
              <w:tab/>
            </w:r>
            <w:r w:rsidR="004E1819">
              <w:rPr>
                <w:noProof/>
                <w:webHidden/>
              </w:rPr>
              <w:fldChar w:fldCharType="begin"/>
            </w:r>
            <w:r w:rsidR="004E1819">
              <w:rPr>
                <w:noProof/>
                <w:webHidden/>
              </w:rPr>
              <w:instrText xml:space="preserve"> PAGEREF _Toc59188475 \h </w:instrText>
            </w:r>
            <w:r w:rsidR="004E1819">
              <w:rPr>
                <w:noProof/>
                <w:webHidden/>
              </w:rPr>
            </w:r>
            <w:r w:rsidR="004E1819">
              <w:rPr>
                <w:noProof/>
                <w:webHidden/>
              </w:rPr>
              <w:fldChar w:fldCharType="separate"/>
            </w:r>
            <w:r>
              <w:rPr>
                <w:noProof/>
                <w:webHidden/>
              </w:rPr>
              <w:t>21</w:t>
            </w:r>
            <w:r w:rsidR="004E1819">
              <w:rPr>
                <w:noProof/>
                <w:webHidden/>
              </w:rPr>
              <w:fldChar w:fldCharType="end"/>
            </w:r>
          </w:hyperlink>
        </w:p>
        <w:p w14:paraId="62A6F31C" w14:textId="1C5C0017" w:rsidR="004E1819" w:rsidRDefault="00AA22FA">
          <w:pPr>
            <w:pStyle w:val="TOC2"/>
            <w:rPr>
              <w:rFonts w:asciiTheme="minorHAnsi" w:eastAsiaTheme="minorEastAsia" w:hAnsiTheme="minorHAnsi" w:cstheme="minorBidi"/>
              <w:noProof/>
              <w:lang w:eastAsia="en-AU"/>
            </w:rPr>
          </w:pPr>
          <w:hyperlink w:anchor="_Toc59188476" w:history="1">
            <w:r w:rsidR="004E1819" w:rsidRPr="00D63F1C">
              <w:rPr>
                <w:rStyle w:val="Hyperlink"/>
                <w:noProof/>
                <w:lang w:eastAsia="en-AU"/>
              </w:rPr>
              <w:t>6.3. Paying for capacity in excess of accredited capacity</w:t>
            </w:r>
            <w:r w:rsidR="004E1819">
              <w:rPr>
                <w:noProof/>
                <w:webHidden/>
              </w:rPr>
              <w:tab/>
            </w:r>
            <w:r w:rsidR="004E1819">
              <w:rPr>
                <w:noProof/>
                <w:webHidden/>
              </w:rPr>
              <w:fldChar w:fldCharType="begin"/>
            </w:r>
            <w:r w:rsidR="004E1819">
              <w:rPr>
                <w:noProof/>
                <w:webHidden/>
              </w:rPr>
              <w:instrText xml:space="preserve"> PAGEREF _Toc59188476 \h </w:instrText>
            </w:r>
            <w:r w:rsidR="004E1819">
              <w:rPr>
                <w:noProof/>
                <w:webHidden/>
              </w:rPr>
            </w:r>
            <w:r w:rsidR="004E1819">
              <w:rPr>
                <w:noProof/>
                <w:webHidden/>
              </w:rPr>
              <w:fldChar w:fldCharType="separate"/>
            </w:r>
            <w:r>
              <w:rPr>
                <w:noProof/>
                <w:webHidden/>
              </w:rPr>
              <w:t>22</w:t>
            </w:r>
            <w:r w:rsidR="004E1819">
              <w:rPr>
                <w:noProof/>
                <w:webHidden/>
              </w:rPr>
              <w:fldChar w:fldCharType="end"/>
            </w:r>
          </w:hyperlink>
        </w:p>
        <w:p w14:paraId="39C96059" w14:textId="39DF7410" w:rsidR="004E1819" w:rsidRDefault="00AA22FA">
          <w:pPr>
            <w:pStyle w:val="TOC1"/>
            <w:rPr>
              <w:rFonts w:asciiTheme="minorHAnsi" w:eastAsiaTheme="minorEastAsia" w:hAnsiTheme="minorHAnsi" w:cstheme="minorBidi"/>
              <w:b w:val="0"/>
              <w:noProof/>
              <w:lang w:eastAsia="en-AU"/>
            </w:rPr>
          </w:pPr>
          <w:hyperlink w:anchor="_Toc59188477" w:history="1">
            <w:r w:rsidR="004E1819" w:rsidRPr="00D63F1C">
              <w:rPr>
                <w:rStyle w:val="Hyperlink"/>
                <w:noProof/>
                <w:lang w:eastAsia="en-AU"/>
              </w:rPr>
              <w:t>7. Transition</w:t>
            </w:r>
            <w:r w:rsidR="004E1819">
              <w:rPr>
                <w:noProof/>
                <w:webHidden/>
              </w:rPr>
              <w:tab/>
            </w:r>
            <w:r w:rsidR="004E1819">
              <w:rPr>
                <w:noProof/>
                <w:webHidden/>
              </w:rPr>
              <w:fldChar w:fldCharType="begin"/>
            </w:r>
            <w:r w:rsidR="004E1819">
              <w:rPr>
                <w:noProof/>
                <w:webHidden/>
              </w:rPr>
              <w:instrText xml:space="preserve"> PAGEREF _Toc59188477 \h </w:instrText>
            </w:r>
            <w:r w:rsidR="004E1819">
              <w:rPr>
                <w:noProof/>
                <w:webHidden/>
              </w:rPr>
            </w:r>
            <w:r w:rsidR="004E1819">
              <w:rPr>
                <w:noProof/>
                <w:webHidden/>
              </w:rPr>
              <w:fldChar w:fldCharType="separate"/>
            </w:r>
            <w:r>
              <w:rPr>
                <w:noProof/>
                <w:webHidden/>
              </w:rPr>
              <w:t>22</w:t>
            </w:r>
            <w:r w:rsidR="004E1819">
              <w:rPr>
                <w:noProof/>
                <w:webHidden/>
              </w:rPr>
              <w:fldChar w:fldCharType="end"/>
            </w:r>
          </w:hyperlink>
        </w:p>
        <w:p w14:paraId="7D8214BD" w14:textId="02DC5AA4" w:rsidR="004E1819" w:rsidRDefault="00AA22FA">
          <w:pPr>
            <w:pStyle w:val="TOC1"/>
            <w:rPr>
              <w:rFonts w:asciiTheme="minorHAnsi" w:eastAsiaTheme="minorEastAsia" w:hAnsiTheme="minorHAnsi" w:cstheme="minorBidi"/>
              <w:b w:val="0"/>
              <w:noProof/>
              <w:lang w:eastAsia="en-AU"/>
            </w:rPr>
          </w:pPr>
          <w:hyperlink w:anchor="_Toc59188478" w:history="1">
            <w:r w:rsidR="004E1819" w:rsidRPr="00D63F1C">
              <w:rPr>
                <w:rStyle w:val="Hyperlink"/>
                <w:noProof/>
                <w:lang w:eastAsia="en-AU"/>
              </w:rPr>
              <w:t>8. Implementation and next steps</w:t>
            </w:r>
            <w:r w:rsidR="004E1819">
              <w:rPr>
                <w:noProof/>
                <w:webHidden/>
              </w:rPr>
              <w:tab/>
            </w:r>
            <w:r w:rsidR="004E1819">
              <w:rPr>
                <w:noProof/>
                <w:webHidden/>
              </w:rPr>
              <w:fldChar w:fldCharType="begin"/>
            </w:r>
            <w:r w:rsidR="004E1819">
              <w:rPr>
                <w:noProof/>
                <w:webHidden/>
              </w:rPr>
              <w:instrText xml:space="preserve"> PAGEREF _Toc59188478 \h </w:instrText>
            </w:r>
            <w:r w:rsidR="004E1819">
              <w:rPr>
                <w:noProof/>
                <w:webHidden/>
              </w:rPr>
            </w:r>
            <w:r w:rsidR="004E1819">
              <w:rPr>
                <w:noProof/>
                <w:webHidden/>
              </w:rPr>
              <w:fldChar w:fldCharType="separate"/>
            </w:r>
            <w:r>
              <w:rPr>
                <w:noProof/>
                <w:webHidden/>
              </w:rPr>
              <w:t>24</w:t>
            </w:r>
            <w:r w:rsidR="004E1819">
              <w:rPr>
                <w:noProof/>
                <w:webHidden/>
              </w:rPr>
              <w:fldChar w:fldCharType="end"/>
            </w:r>
          </w:hyperlink>
        </w:p>
        <w:p w14:paraId="026291C5" w14:textId="1C5FC008" w:rsidR="004E1819" w:rsidRDefault="00AA22FA">
          <w:pPr>
            <w:pStyle w:val="TOC2"/>
            <w:rPr>
              <w:rFonts w:asciiTheme="minorHAnsi" w:eastAsiaTheme="minorEastAsia" w:hAnsiTheme="minorHAnsi" w:cstheme="minorBidi"/>
              <w:noProof/>
              <w:lang w:eastAsia="en-AU"/>
            </w:rPr>
          </w:pPr>
          <w:hyperlink w:anchor="_Toc59188479" w:history="1">
            <w:r w:rsidR="004E1819" w:rsidRPr="00D63F1C">
              <w:rPr>
                <w:rStyle w:val="Hyperlink"/>
                <w:noProof/>
                <w:lang w:eastAsia="en-AU"/>
              </w:rPr>
              <w:t>8.1. Legislative change</w:t>
            </w:r>
            <w:r w:rsidR="004E1819">
              <w:rPr>
                <w:noProof/>
                <w:webHidden/>
              </w:rPr>
              <w:tab/>
            </w:r>
            <w:r w:rsidR="004E1819">
              <w:rPr>
                <w:noProof/>
                <w:webHidden/>
              </w:rPr>
              <w:fldChar w:fldCharType="begin"/>
            </w:r>
            <w:r w:rsidR="004E1819">
              <w:rPr>
                <w:noProof/>
                <w:webHidden/>
              </w:rPr>
              <w:instrText xml:space="preserve"> PAGEREF _Toc59188479 \h </w:instrText>
            </w:r>
            <w:r w:rsidR="004E1819">
              <w:rPr>
                <w:noProof/>
                <w:webHidden/>
              </w:rPr>
            </w:r>
            <w:r w:rsidR="004E1819">
              <w:rPr>
                <w:noProof/>
                <w:webHidden/>
              </w:rPr>
              <w:fldChar w:fldCharType="separate"/>
            </w:r>
            <w:r>
              <w:rPr>
                <w:noProof/>
                <w:webHidden/>
              </w:rPr>
              <w:t>24</w:t>
            </w:r>
            <w:r w:rsidR="004E1819">
              <w:rPr>
                <w:noProof/>
                <w:webHidden/>
              </w:rPr>
              <w:fldChar w:fldCharType="end"/>
            </w:r>
          </w:hyperlink>
        </w:p>
        <w:p w14:paraId="1A7EF6D4" w14:textId="33AD82CC" w:rsidR="004E1819" w:rsidRDefault="00AA22FA">
          <w:pPr>
            <w:pStyle w:val="TOC2"/>
            <w:rPr>
              <w:rFonts w:asciiTheme="minorHAnsi" w:eastAsiaTheme="minorEastAsia" w:hAnsiTheme="minorHAnsi" w:cstheme="minorBidi"/>
              <w:noProof/>
              <w:lang w:eastAsia="en-AU"/>
            </w:rPr>
          </w:pPr>
          <w:hyperlink w:anchor="_Toc59188480" w:history="1">
            <w:r w:rsidR="004E1819" w:rsidRPr="00D63F1C">
              <w:rPr>
                <w:rStyle w:val="Hyperlink"/>
                <w:noProof/>
                <w:lang w:eastAsia="en-AU"/>
              </w:rPr>
              <w:t>8.2. Next steps</w:t>
            </w:r>
            <w:r w:rsidR="004E1819">
              <w:rPr>
                <w:noProof/>
                <w:webHidden/>
              </w:rPr>
              <w:tab/>
            </w:r>
            <w:r w:rsidR="004E1819">
              <w:rPr>
                <w:noProof/>
                <w:webHidden/>
              </w:rPr>
              <w:fldChar w:fldCharType="begin"/>
            </w:r>
            <w:r w:rsidR="004E1819">
              <w:rPr>
                <w:noProof/>
                <w:webHidden/>
              </w:rPr>
              <w:instrText xml:space="preserve"> PAGEREF _Toc59188480 \h </w:instrText>
            </w:r>
            <w:r w:rsidR="004E1819">
              <w:rPr>
                <w:noProof/>
                <w:webHidden/>
              </w:rPr>
            </w:r>
            <w:r w:rsidR="004E1819">
              <w:rPr>
                <w:noProof/>
                <w:webHidden/>
              </w:rPr>
              <w:fldChar w:fldCharType="separate"/>
            </w:r>
            <w:r>
              <w:rPr>
                <w:noProof/>
                <w:webHidden/>
              </w:rPr>
              <w:t>24</w:t>
            </w:r>
            <w:r w:rsidR="004E1819">
              <w:rPr>
                <w:noProof/>
                <w:webHidden/>
              </w:rPr>
              <w:fldChar w:fldCharType="end"/>
            </w:r>
          </w:hyperlink>
        </w:p>
        <w:p w14:paraId="13CFE8B4" w14:textId="1DE16F74" w:rsidR="004E1819" w:rsidRDefault="00AA22FA">
          <w:pPr>
            <w:pStyle w:val="TOC1"/>
            <w:rPr>
              <w:rFonts w:asciiTheme="minorHAnsi" w:eastAsiaTheme="minorEastAsia" w:hAnsiTheme="minorHAnsi" w:cstheme="minorBidi"/>
              <w:b w:val="0"/>
              <w:noProof/>
              <w:lang w:eastAsia="en-AU"/>
            </w:rPr>
          </w:pPr>
          <w:hyperlink w:anchor="_Toc59188481" w:history="1">
            <w:r w:rsidR="004E1819" w:rsidRPr="00D63F1C">
              <w:rPr>
                <w:rStyle w:val="Hyperlink"/>
                <w:noProof/>
                <w:lang w:eastAsia="en-AU"/>
              </w:rPr>
              <w:t>9. Making a submission</w:t>
            </w:r>
            <w:r w:rsidR="004E1819">
              <w:rPr>
                <w:noProof/>
                <w:webHidden/>
              </w:rPr>
              <w:tab/>
            </w:r>
            <w:r w:rsidR="004E1819">
              <w:rPr>
                <w:noProof/>
                <w:webHidden/>
              </w:rPr>
              <w:fldChar w:fldCharType="begin"/>
            </w:r>
            <w:r w:rsidR="004E1819">
              <w:rPr>
                <w:noProof/>
                <w:webHidden/>
              </w:rPr>
              <w:instrText xml:space="preserve"> PAGEREF _Toc59188481 \h </w:instrText>
            </w:r>
            <w:r w:rsidR="004E1819">
              <w:rPr>
                <w:noProof/>
                <w:webHidden/>
              </w:rPr>
            </w:r>
            <w:r w:rsidR="004E1819">
              <w:rPr>
                <w:noProof/>
                <w:webHidden/>
              </w:rPr>
              <w:fldChar w:fldCharType="separate"/>
            </w:r>
            <w:r>
              <w:rPr>
                <w:noProof/>
                <w:webHidden/>
              </w:rPr>
              <w:t>25</w:t>
            </w:r>
            <w:r w:rsidR="004E1819">
              <w:rPr>
                <w:noProof/>
                <w:webHidden/>
              </w:rPr>
              <w:fldChar w:fldCharType="end"/>
            </w:r>
          </w:hyperlink>
        </w:p>
        <w:p w14:paraId="2A1F0906" w14:textId="26224908" w:rsidR="004E1819" w:rsidRDefault="00AA22FA">
          <w:pPr>
            <w:pStyle w:val="TOC1"/>
            <w:tabs>
              <w:tab w:val="left" w:pos="1540"/>
            </w:tabs>
            <w:rPr>
              <w:rFonts w:asciiTheme="minorHAnsi" w:eastAsiaTheme="minorEastAsia" w:hAnsiTheme="minorHAnsi" w:cstheme="minorBidi"/>
              <w:b w:val="0"/>
              <w:noProof/>
              <w:lang w:eastAsia="en-AU"/>
            </w:rPr>
          </w:pPr>
          <w:hyperlink w:anchor="_Toc59188482" w:history="1">
            <w:r w:rsidR="004E1819" w:rsidRPr="00D63F1C">
              <w:rPr>
                <w:rStyle w:val="Hyperlink"/>
                <w:noProof/>
                <w:lang w:eastAsia="en-AU"/>
              </w:rPr>
              <w:t>Appendix A:</w:t>
            </w:r>
            <w:r w:rsidR="004E1819">
              <w:rPr>
                <w:rFonts w:asciiTheme="minorHAnsi" w:eastAsiaTheme="minorEastAsia" w:hAnsiTheme="minorHAnsi" w:cstheme="minorBidi"/>
                <w:b w:val="0"/>
                <w:noProof/>
                <w:lang w:eastAsia="en-AU"/>
              </w:rPr>
              <w:tab/>
            </w:r>
            <w:r w:rsidR="004E1819" w:rsidRPr="00D63F1C">
              <w:rPr>
                <w:rStyle w:val="Hyperlink"/>
                <w:noProof/>
                <w:lang w:eastAsia="en-AU"/>
              </w:rPr>
              <w:t xml:space="preserve"> Illustrative overview of capacity m</w:t>
            </w:r>
            <w:r w:rsidR="004E1819">
              <w:rPr>
                <w:rStyle w:val="Hyperlink"/>
                <w:noProof/>
                <w:lang w:eastAsia="en-AU"/>
              </w:rPr>
              <w:t>echanism</w:t>
            </w:r>
            <w:r w:rsidR="004E1819">
              <w:rPr>
                <w:noProof/>
                <w:webHidden/>
              </w:rPr>
              <w:tab/>
            </w:r>
            <w:r w:rsidR="004E1819">
              <w:rPr>
                <w:noProof/>
                <w:webHidden/>
              </w:rPr>
              <w:fldChar w:fldCharType="begin"/>
            </w:r>
            <w:r w:rsidR="004E1819">
              <w:rPr>
                <w:noProof/>
                <w:webHidden/>
              </w:rPr>
              <w:instrText xml:space="preserve"> PAGEREF _Toc59188482 \h </w:instrText>
            </w:r>
            <w:r w:rsidR="004E1819">
              <w:rPr>
                <w:noProof/>
                <w:webHidden/>
              </w:rPr>
            </w:r>
            <w:r w:rsidR="004E1819">
              <w:rPr>
                <w:noProof/>
                <w:webHidden/>
              </w:rPr>
              <w:fldChar w:fldCharType="separate"/>
            </w:r>
            <w:r>
              <w:rPr>
                <w:noProof/>
                <w:webHidden/>
              </w:rPr>
              <w:t>26</w:t>
            </w:r>
            <w:r w:rsidR="004E1819">
              <w:rPr>
                <w:noProof/>
                <w:webHidden/>
              </w:rPr>
              <w:fldChar w:fldCharType="end"/>
            </w:r>
          </w:hyperlink>
        </w:p>
        <w:p w14:paraId="203ED490" w14:textId="2BDF6261" w:rsidR="004E7885" w:rsidRPr="004E7885" w:rsidRDefault="006747E0" w:rsidP="004E7885">
          <w:pPr>
            <w:rPr>
              <w:rFonts w:eastAsiaTheme="minorEastAsia" w:cs="Arial"/>
              <w:b/>
              <w:lang w:eastAsia="en-AU"/>
            </w:rPr>
          </w:pPr>
          <w:r>
            <w:rPr>
              <w:rFonts w:eastAsiaTheme="minorEastAsia" w:cs="Arial"/>
              <w:lang w:eastAsia="en-AU"/>
            </w:rPr>
            <w:fldChar w:fldCharType="end"/>
          </w:r>
        </w:p>
        <w:bookmarkEnd w:id="0" w:displacedByCustomXml="next"/>
      </w:sdtContent>
    </w:sdt>
    <w:p w14:paraId="256D4C64" w14:textId="77777777" w:rsidR="00964B22" w:rsidRPr="004E7885" w:rsidRDefault="00964B22" w:rsidP="004E7885">
      <w:pPr>
        <w:sectPr w:rsidR="00964B22" w:rsidRPr="004E7885"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14:paraId="6D185505" w14:textId="77777777" w:rsidR="00EB3D43" w:rsidRPr="002C0B0F" w:rsidRDefault="00764775" w:rsidP="002C0B0F">
      <w:pPr>
        <w:pStyle w:val="Heading1"/>
      </w:pPr>
      <w:bookmarkStart w:id="1" w:name="_Toc59188457"/>
      <w:r w:rsidRPr="002C0B0F">
        <w:lastRenderedPageBreak/>
        <w:t>Introduction</w:t>
      </w:r>
      <w:bookmarkEnd w:id="1"/>
    </w:p>
    <w:p w14:paraId="00B57753" w14:textId="758C4570" w:rsidR="00C96AAD" w:rsidRDefault="0022365C" w:rsidP="00764775">
      <w:r>
        <w:t xml:space="preserve">The Northern Territory Government has identified the need to undertake reform to support reliability as part of its Northern Territory Electricity Market </w:t>
      </w:r>
      <w:r w:rsidR="00C96AAD">
        <w:t xml:space="preserve">(NTEM) Priority </w:t>
      </w:r>
      <w:r>
        <w:t xml:space="preserve">Reform Program. </w:t>
      </w:r>
      <w:r w:rsidR="00C96AAD">
        <w:t xml:space="preserve">The NTEM Priority Reform Program, announced in June 2020, is a package of coordinated priority reforms to market arrangements in the Darwin-Katherine Interconnected System (DKIS) to facilitate </w:t>
      </w:r>
      <w:r w:rsidR="00D828FF">
        <w:t xml:space="preserve">an </w:t>
      </w:r>
      <w:r w:rsidR="00C96AAD">
        <w:t xml:space="preserve">increased </w:t>
      </w:r>
      <w:r w:rsidR="00D828FF">
        <w:t xml:space="preserve">number of </w:t>
      </w:r>
      <w:r w:rsidR="00C96AAD">
        <w:t xml:space="preserve">market participants and accommodate emerging technologies. The </w:t>
      </w:r>
      <w:r w:rsidR="00D828FF">
        <w:t>reforms</w:t>
      </w:r>
      <w:r w:rsidR="00C96AAD">
        <w:t xml:space="preserve"> will ensure efficient, secure and reliab</w:t>
      </w:r>
      <w:r w:rsidR="00587184">
        <w:t>le</w:t>
      </w:r>
      <w:r w:rsidR="00C96AAD">
        <w:t xml:space="preserve"> electricity supply and support government’s renewable energy target. </w:t>
      </w:r>
      <w:r w:rsidR="00D828FF">
        <w:t>Components of t</w:t>
      </w:r>
      <w:r w:rsidR="00C96AAD">
        <w:t>he Priority Reform Program relate to reliability, dispatch, essential system services and s</w:t>
      </w:r>
      <w:r w:rsidR="00B44269">
        <w:t>ettlement arrangements. More</w:t>
      </w:r>
      <w:r w:rsidR="00C96AAD">
        <w:t xml:space="preserve"> information can be found on each component in the </w:t>
      </w:r>
      <w:r w:rsidR="00C96AAD" w:rsidRPr="00812592">
        <w:rPr>
          <w:i/>
        </w:rPr>
        <w:t>Northern Territory Electricity Market Priority Reform Program: Introductory Notes on scope and work program</w:t>
      </w:r>
      <w:r w:rsidR="00C96AAD">
        <w:t xml:space="preserve"> which </w:t>
      </w:r>
      <w:r w:rsidR="002C0293">
        <w:t xml:space="preserve">is </w:t>
      </w:r>
      <w:r w:rsidR="00C96AAD">
        <w:t xml:space="preserve">on the </w:t>
      </w:r>
      <w:hyperlink r:id="rId17" w:history="1">
        <w:r w:rsidR="009A4556">
          <w:rPr>
            <w:rStyle w:val="Hyperlink"/>
          </w:rPr>
          <w:t>Department of Industry, Tourism and Trade’s w</w:t>
        </w:r>
        <w:r w:rsidR="00C96AAD" w:rsidRPr="00C96AAD">
          <w:rPr>
            <w:rStyle w:val="Hyperlink"/>
          </w:rPr>
          <w:t>ebsite</w:t>
        </w:r>
      </w:hyperlink>
      <w:r w:rsidR="00C96AAD">
        <w:t>.</w:t>
      </w:r>
      <w:r w:rsidR="00812592">
        <w:rPr>
          <w:rStyle w:val="FootnoteReference"/>
        </w:rPr>
        <w:footnoteReference w:id="2"/>
      </w:r>
      <w:r w:rsidR="00C96AAD">
        <w:t xml:space="preserve"> </w:t>
      </w:r>
    </w:p>
    <w:p w14:paraId="114A7C1B" w14:textId="2EFC03FD" w:rsidR="002C0293" w:rsidRDefault="00CD1649" w:rsidP="00CD1649">
      <w:bookmarkStart w:id="2" w:name="_Ref45788262"/>
      <w:r>
        <w:t>This consultation paper focusses on the area of reliability where priority reforms identified by the Territory Government will ensure achievement of a system-wide standard for reliability of supply (reliability standard). A critical element of the reliability framework is ensuring there is sufficient capacity available (capacity adequacy) to</w:t>
      </w:r>
      <w:r w:rsidR="00CB4292">
        <w:t xml:space="preserve"> meet the reliability standard</w:t>
      </w:r>
      <w:r>
        <w:t xml:space="preserve">. </w:t>
      </w:r>
    </w:p>
    <w:p w14:paraId="45F7F828" w14:textId="11D4D442" w:rsidR="00E17DB2" w:rsidRDefault="002C0293" w:rsidP="00587184">
      <w:pPr>
        <w:rPr>
          <w:lang w:eastAsia="en-AU"/>
        </w:rPr>
      </w:pPr>
      <w:r>
        <w:t>The purpose of this consultation paper is to seek stakeholder input on the design considerations in respect to the reliability priority reforms</w:t>
      </w:r>
      <w:r w:rsidR="00D647DE">
        <w:t xml:space="preserve">, </w:t>
      </w:r>
      <w:r w:rsidR="00E34FA0">
        <w:t>and</w:t>
      </w:r>
      <w:r w:rsidR="00D647DE">
        <w:t xml:space="preserve"> more specifically, a proposed draft design of the reliability framework to ensure achievement of the reliability standard. </w:t>
      </w:r>
      <w:r>
        <w:t xml:space="preserve">The paper includes a series of consultation questions to elicit feedback to inform </w:t>
      </w:r>
      <w:r w:rsidR="00AD7263">
        <w:t>a final design of priority reliability reforms.</w:t>
      </w:r>
      <w:bookmarkEnd w:id="2"/>
    </w:p>
    <w:p w14:paraId="0C880580" w14:textId="0B6AFC22" w:rsidR="00592571" w:rsidRDefault="00CD1649" w:rsidP="00CD1649">
      <w:pPr>
        <w:rPr>
          <w:lang w:eastAsia="en-AU"/>
        </w:rPr>
      </w:pPr>
      <w:r w:rsidRPr="00C320A0">
        <w:rPr>
          <w:lang w:eastAsia="en-AU"/>
        </w:rPr>
        <w:t>The paper is structured as follows</w:t>
      </w:r>
      <w:r>
        <w:rPr>
          <w:lang w:eastAsia="en-AU"/>
        </w:rPr>
        <w:t>:</w:t>
      </w:r>
      <w:r w:rsidRPr="00C320A0">
        <w:rPr>
          <w:lang w:eastAsia="en-AU"/>
        </w:rPr>
        <w:t xml:space="preserve"> Section 2 </w:t>
      </w:r>
      <w:r>
        <w:rPr>
          <w:lang w:eastAsia="en-AU"/>
        </w:rPr>
        <w:t>summarises</w:t>
      </w:r>
      <w:r w:rsidRPr="00C320A0">
        <w:rPr>
          <w:lang w:eastAsia="en-AU"/>
        </w:rPr>
        <w:t xml:space="preserve"> the </w:t>
      </w:r>
      <w:r w:rsidR="002C0293">
        <w:rPr>
          <w:lang w:eastAsia="en-AU"/>
        </w:rPr>
        <w:t xml:space="preserve">proposed </w:t>
      </w:r>
      <w:r w:rsidRPr="00C320A0">
        <w:rPr>
          <w:lang w:eastAsia="en-AU"/>
        </w:rPr>
        <w:t>NTEM</w:t>
      </w:r>
      <w:r w:rsidR="002C0293">
        <w:rPr>
          <w:lang w:eastAsia="en-AU"/>
        </w:rPr>
        <w:t xml:space="preserve"> Priority Reform Program</w:t>
      </w:r>
      <w:r w:rsidRPr="00C320A0">
        <w:rPr>
          <w:lang w:eastAsia="en-AU"/>
        </w:rPr>
        <w:t xml:space="preserve"> </w:t>
      </w:r>
      <w:r>
        <w:rPr>
          <w:lang w:eastAsia="en-AU"/>
        </w:rPr>
        <w:t>reliability</w:t>
      </w:r>
      <w:r w:rsidRPr="00C320A0">
        <w:rPr>
          <w:lang w:eastAsia="en-AU"/>
        </w:rPr>
        <w:t xml:space="preserve"> </w:t>
      </w:r>
      <w:r>
        <w:rPr>
          <w:lang w:eastAsia="en-AU"/>
        </w:rPr>
        <w:t xml:space="preserve">standard and assessment framework; </w:t>
      </w:r>
      <w:r w:rsidRPr="004A19DF">
        <w:rPr>
          <w:lang w:eastAsia="en-AU"/>
        </w:rPr>
        <w:t xml:space="preserve">Section 3 discusses electricity market designs and the need for specific mechanisms to ensure capacity adequacy; Section 4 outlines the processes required under a capacity mechanism and provides </w:t>
      </w:r>
      <w:r w:rsidR="00B44269">
        <w:rPr>
          <w:lang w:eastAsia="en-AU"/>
        </w:rPr>
        <w:t xml:space="preserve">a draft </w:t>
      </w:r>
      <w:r w:rsidRPr="004A19DF">
        <w:rPr>
          <w:lang w:eastAsia="en-AU"/>
        </w:rPr>
        <w:t>design for the mechanism; Sections 5 and 6 provide detail on the accreditation of generation</w:t>
      </w:r>
      <w:r>
        <w:rPr>
          <w:lang w:eastAsia="en-AU"/>
        </w:rPr>
        <w:t xml:space="preserve"> and storage and management of the provision of actual and accredited capacity; and finally, Sections 7 and 8 discuss matters relating to transition and the legislative changes required to implement the capacity mechanism.</w:t>
      </w:r>
      <w:r w:rsidR="00B44269">
        <w:rPr>
          <w:lang w:eastAsia="en-AU"/>
        </w:rPr>
        <w:t xml:space="preserve"> Section 9 details how stakeholders can provide feedback on this consultation paper. </w:t>
      </w:r>
    </w:p>
    <w:p w14:paraId="4468F9BB" w14:textId="4F2F72AE" w:rsidR="004E0FD7" w:rsidRPr="002C0B0F" w:rsidRDefault="002C0293" w:rsidP="002C0B0F">
      <w:pPr>
        <w:pStyle w:val="Heading1"/>
      </w:pPr>
      <w:bookmarkStart w:id="3" w:name="_Toc59188458"/>
      <w:r w:rsidRPr="002C0B0F">
        <w:t>R</w:t>
      </w:r>
      <w:r w:rsidR="006B3C4E" w:rsidRPr="002C0B0F">
        <w:t xml:space="preserve">eliability </w:t>
      </w:r>
      <w:r w:rsidR="00CD28A0" w:rsidRPr="002C0B0F">
        <w:t xml:space="preserve">standard and </w:t>
      </w:r>
      <w:r w:rsidR="006B3C4E" w:rsidRPr="002C0B0F">
        <w:t>assessment</w:t>
      </w:r>
      <w:r w:rsidR="00CD28A0" w:rsidRPr="002C0B0F">
        <w:t xml:space="preserve"> framework</w:t>
      </w:r>
      <w:bookmarkEnd w:id="3"/>
    </w:p>
    <w:p w14:paraId="069D6A45" w14:textId="1CCBEC4D" w:rsidR="00353B19" w:rsidRDefault="00412BB0" w:rsidP="009C3F1D">
      <w:pPr>
        <w:keepNext/>
        <w:rPr>
          <w:lang w:eastAsia="en-AU"/>
        </w:rPr>
      </w:pPr>
      <w:r>
        <w:rPr>
          <w:lang w:eastAsia="en-AU"/>
        </w:rPr>
        <w:t xml:space="preserve">The </w:t>
      </w:r>
      <w:r w:rsidR="00CD28A0">
        <w:rPr>
          <w:lang w:eastAsia="en-AU"/>
        </w:rPr>
        <w:t xml:space="preserve">Priority Reform Program for reliability in the DKIS will result in the establishment of a formal reliability standard informed by detailed reliability </w:t>
      </w:r>
      <w:r w:rsidR="00503B62">
        <w:rPr>
          <w:lang w:eastAsia="en-AU"/>
        </w:rPr>
        <w:t xml:space="preserve">analysis modelling and the design and implementation of a fit-for-purpose framework to ensure achievement of the reliability standard. </w:t>
      </w:r>
      <w:r w:rsidR="00925BE0">
        <w:rPr>
          <w:lang w:eastAsia="en-AU"/>
        </w:rPr>
        <w:t>The</w:t>
      </w:r>
      <w:r w:rsidR="008C7109">
        <w:rPr>
          <w:lang w:eastAsia="en-AU"/>
        </w:rPr>
        <w:t xml:space="preserve"> form and level of the reliability standard </w:t>
      </w:r>
      <w:r w:rsidR="00925BE0">
        <w:rPr>
          <w:lang w:eastAsia="en-AU"/>
        </w:rPr>
        <w:t xml:space="preserve">are not the subject of this paper. This </w:t>
      </w:r>
      <w:r w:rsidR="006222A5">
        <w:rPr>
          <w:lang w:eastAsia="en-AU"/>
        </w:rPr>
        <w:t xml:space="preserve">paper </w:t>
      </w:r>
      <w:r w:rsidR="008C7109">
        <w:rPr>
          <w:lang w:eastAsia="en-AU"/>
        </w:rPr>
        <w:t>focus</w:t>
      </w:r>
      <w:r w:rsidR="006222A5">
        <w:rPr>
          <w:lang w:eastAsia="en-AU"/>
        </w:rPr>
        <w:t>es</w:t>
      </w:r>
      <w:r w:rsidR="008C7109">
        <w:rPr>
          <w:lang w:eastAsia="en-AU"/>
        </w:rPr>
        <w:t xml:space="preserve"> on </w:t>
      </w:r>
      <w:r w:rsidR="006222A5">
        <w:rPr>
          <w:lang w:eastAsia="en-AU"/>
        </w:rPr>
        <w:t xml:space="preserve">how </w:t>
      </w:r>
      <w:r w:rsidR="008C7109">
        <w:rPr>
          <w:lang w:eastAsia="en-AU"/>
        </w:rPr>
        <w:t xml:space="preserve">the reliability standard </w:t>
      </w:r>
      <w:r w:rsidR="006222A5">
        <w:rPr>
          <w:lang w:eastAsia="en-AU"/>
        </w:rPr>
        <w:t xml:space="preserve">will be translated </w:t>
      </w:r>
      <w:r w:rsidR="008C7109">
        <w:rPr>
          <w:lang w:eastAsia="en-AU"/>
        </w:rPr>
        <w:t xml:space="preserve">into a forecast physical capacity requirement and </w:t>
      </w:r>
      <w:r w:rsidR="006222A5">
        <w:rPr>
          <w:lang w:eastAsia="en-AU"/>
        </w:rPr>
        <w:t>implemented</w:t>
      </w:r>
      <w:r w:rsidR="008C7109">
        <w:rPr>
          <w:lang w:eastAsia="en-AU"/>
        </w:rPr>
        <w:t xml:space="preserve"> to ensure effective capacity is present to satisfy the reliability standard in a</w:t>
      </w:r>
      <w:r w:rsidR="006222A5">
        <w:rPr>
          <w:lang w:eastAsia="en-AU"/>
        </w:rPr>
        <w:t>ny</w:t>
      </w:r>
      <w:r w:rsidR="008C7109">
        <w:rPr>
          <w:lang w:eastAsia="en-AU"/>
        </w:rPr>
        <w:t xml:space="preserve"> given year.</w:t>
      </w:r>
      <w:r w:rsidR="006222A5">
        <w:rPr>
          <w:lang w:eastAsia="en-AU"/>
        </w:rPr>
        <w:t xml:space="preserve"> Notwithstanding this, the following </w:t>
      </w:r>
      <w:r w:rsidR="0059173B">
        <w:rPr>
          <w:lang w:eastAsia="en-AU"/>
        </w:rPr>
        <w:t>paragraphs provide</w:t>
      </w:r>
      <w:r w:rsidR="006222A5">
        <w:rPr>
          <w:lang w:eastAsia="en-AU"/>
        </w:rPr>
        <w:t xml:space="preserve"> a brief summary of arrangements for the reliability standard</w:t>
      </w:r>
      <w:r w:rsidR="00503B62">
        <w:rPr>
          <w:lang w:eastAsia="en-AU"/>
        </w:rPr>
        <w:t xml:space="preserve"> and responsibility for the management of reliability in the DKIS</w:t>
      </w:r>
      <w:r w:rsidR="006222A5">
        <w:rPr>
          <w:lang w:eastAsia="en-AU"/>
        </w:rPr>
        <w:t xml:space="preserve">. </w:t>
      </w:r>
    </w:p>
    <w:p w14:paraId="3169F7C5" w14:textId="77777777" w:rsidR="00353B19" w:rsidRDefault="00353B19">
      <w:pPr>
        <w:rPr>
          <w:lang w:eastAsia="en-AU"/>
        </w:rPr>
      </w:pPr>
      <w:r>
        <w:rPr>
          <w:lang w:eastAsia="en-AU"/>
        </w:rPr>
        <w:br w:type="page"/>
      </w:r>
    </w:p>
    <w:p w14:paraId="600293A9" w14:textId="77777777" w:rsidR="0059173B" w:rsidRPr="002C0B0F" w:rsidRDefault="0059173B" w:rsidP="002C0B0F">
      <w:pPr>
        <w:pStyle w:val="Heading2"/>
      </w:pPr>
      <w:bookmarkStart w:id="4" w:name="_Toc59188459"/>
      <w:r w:rsidRPr="002C0B0F">
        <w:lastRenderedPageBreak/>
        <w:t>Form and level of the reliability standard</w:t>
      </w:r>
      <w:bookmarkEnd w:id="4"/>
    </w:p>
    <w:p w14:paraId="5DE795E1" w14:textId="35B35663" w:rsidR="006B3C4E" w:rsidRDefault="007957F3" w:rsidP="006B3C4E">
      <w:pPr>
        <w:rPr>
          <w:lang w:eastAsia="en-AU"/>
        </w:rPr>
      </w:pPr>
      <w:r>
        <w:rPr>
          <w:lang w:eastAsia="en-AU"/>
        </w:rPr>
        <w:t xml:space="preserve">Following </w:t>
      </w:r>
      <w:r w:rsidR="009B46B3">
        <w:rPr>
          <w:lang w:eastAsia="en-AU"/>
        </w:rPr>
        <w:t xml:space="preserve">public </w:t>
      </w:r>
      <w:r>
        <w:rPr>
          <w:lang w:eastAsia="en-AU"/>
        </w:rPr>
        <w:t xml:space="preserve">consultation in early 2019, it </w:t>
      </w:r>
      <w:r w:rsidR="009B46B3">
        <w:rPr>
          <w:lang w:eastAsia="en-AU"/>
        </w:rPr>
        <w:t>has been</w:t>
      </w:r>
      <w:r>
        <w:rPr>
          <w:lang w:eastAsia="en-AU"/>
        </w:rPr>
        <w:t xml:space="preserve"> determined that t</w:t>
      </w:r>
      <w:r w:rsidR="006B3C4E">
        <w:rPr>
          <w:lang w:eastAsia="en-AU"/>
        </w:rPr>
        <w:t xml:space="preserve">he reliability standard for the </w:t>
      </w:r>
      <w:r w:rsidR="00503B62">
        <w:rPr>
          <w:lang w:eastAsia="en-AU"/>
        </w:rPr>
        <w:t>DKIS</w:t>
      </w:r>
      <w:r w:rsidR="006B3C4E">
        <w:rPr>
          <w:lang w:eastAsia="en-AU"/>
        </w:rPr>
        <w:t xml:space="preserve"> will be a customer-focused standard.</w:t>
      </w:r>
      <w:r>
        <w:rPr>
          <w:rStyle w:val="FootnoteReference"/>
          <w:lang w:eastAsia="en-AU"/>
        </w:rPr>
        <w:footnoteReference w:id="3"/>
      </w:r>
      <w:r w:rsidR="006B3C4E">
        <w:rPr>
          <w:lang w:eastAsia="en-AU"/>
        </w:rPr>
        <w:t xml:space="preserve"> </w:t>
      </w:r>
      <w:r w:rsidR="009B46B3">
        <w:rPr>
          <w:lang w:eastAsia="en-AU"/>
        </w:rPr>
        <w:t>A c</w:t>
      </w:r>
      <w:r w:rsidR="006B3C4E">
        <w:rPr>
          <w:lang w:eastAsia="en-AU"/>
        </w:rPr>
        <w:t>ustomer-focussed standard directly address</w:t>
      </w:r>
      <w:r w:rsidR="009B46B3">
        <w:rPr>
          <w:lang w:eastAsia="en-AU"/>
        </w:rPr>
        <w:t>es</w:t>
      </w:r>
      <w:r w:rsidR="006B3C4E">
        <w:rPr>
          <w:lang w:eastAsia="en-AU"/>
        </w:rPr>
        <w:t xml:space="preserve"> the reliability experienced by customers</w:t>
      </w:r>
      <w:r w:rsidR="009B46B3">
        <w:rPr>
          <w:lang w:eastAsia="en-AU"/>
        </w:rPr>
        <w:t>,</w:t>
      </w:r>
      <w:r w:rsidR="006B3C4E">
        <w:rPr>
          <w:lang w:eastAsia="en-AU"/>
        </w:rPr>
        <w:t xml:space="preserve"> in contrast to generator standards</w:t>
      </w:r>
      <w:r>
        <w:rPr>
          <w:lang w:eastAsia="en-AU"/>
        </w:rPr>
        <w:t>,</w:t>
      </w:r>
      <w:r w:rsidR="006B3C4E">
        <w:rPr>
          <w:lang w:eastAsia="en-AU"/>
        </w:rPr>
        <w:t xml:space="preserve"> which focu</w:t>
      </w:r>
      <w:r>
        <w:rPr>
          <w:lang w:eastAsia="en-AU"/>
        </w:rPr>
        <w:t xml:space="preserve">s on the status of generators. </w:t>
      </w:r>
      <w:r w:rsidR="009B46B3">
        <w:rPr>
          <w:lang w:eastAsia="en-AU"/>
        </w:rPr>
        <w:t xml:space="preserve">The </w:t>
      </w:r>
      <w:r w:rsidR="006B3C4E">
        <w:rPr>
          <w:lang w:eastAsia="en-AU"/>
        </w:rPr>
        <w:t xml:space="preserve">reliability </w:t>
      </w:r>
      <w:r w:rsidR="009B46B3">
        <w:rPr>
          <w:lang w:eastAsia="en-AU"/>
        </w:rPr>
        <w:t xml:space="preserve">standard </w:t>
      </w:r>
      <w:r w:rsidR="006B3C4E">
        <w:rPr>
          <w:lang w:eastAsia="en-AU"/>
        </w:rPr>
        <w:t>is to be measured in terms of hours at risk of shortfall per year</w:t>
      </w:r>
      <w:r>
        <w:rPr>
          <w:lang w:eastAsia="en-AU"/>
        </w:rPr>
        <w:t xml:space="preserve">, </w:t>
      </w:r>
      <w:r w:rsidR="009B46B3">
        <w:rPr>
          <w:lang w:eastAsia="en-AU"/>
        </w:rPr>
        <w:t>termed</w:t>
      </w:r>
      <w:r w:rsidR="006B3C4E">
        <w:rPr>
          <w:lang w:eastAsia="en-AU"/>
        </w:rPr>
        <w:t xml:space="preserve"> Loss of Load Hours (</w:t>
      </w:r>
      <w:proofErr w:type="spellStart"/>
      <w:r w:rsidR="006B3C4E">
        <w:rPr>
          <w:lang w:eastAsia="en-AU"/>
        </w:rPr>
        <w:t>LoLH</w:t>
      </w:r>
      <w:proofErr w:type="spellEnd"/>
      <w:r w:rsidR="006B3C4E">
        <w:rPr>
          <w:lang w:eastAsia="en-AU"/>
        </w:rPr>
        <w:t>)</w:t>
      </w:r>
      <w:r>
        <w:rPr>
          <w:lang w:eastAsia="en-AU"/>
        </w:rPr>
        <w:t xml:space="preserve">. </w:t>
      </w:r>
      <w:proofErr w:type="spellStart"/>
      <w:r>
        <w:rPr>
          <w:lang w:eastAsia="en-AU"/>
        </w:rPr>
        <w:t>LoLH</w:t>
      </w:r>
      <w:proofErr w:type="spellEnd"/>
      <w:r>
        <w:rPr>
          <w:lang w:eastAsia="en-AU"/>
        </w:rPr>
        <w:t xml:space="preserve"> will limit the number of hours </w:t>
      </w:r>
      <w:r w:rsidR="009B46B3">
        <w:rPr>
          <w:lang w:eastAsia="en-AU"/>
        </w:rPr>
        <w:t xml:space="preserve">the available generation capacity </w:t>
      </w:r>
      <w:r w:rsidR="00EF66E2">
        <w:rPr>
          <w:lang w:eastAsia="en-AU"/>
        </w:rPr>
        <w:t xml:space="preserve">may, under </w:t>
      </w:r>
      <w:r w:rsidR="00503B62">
        <w:rPr>
          <w:lang w:eastAsia="en-AU"/>
        </w:rPr>
        <w:t>rare</w:t>
      </w:r>
      <w:r w:rsidR="00EF66E2">
        <w:rPr>
          <w:lang w:eastAsia="en-AU"/>
        </w:rPr>
        <w:t xml:space="preserve"> circumstances,</w:t>
      </w:r>
      <w:r w:rsidR="009B46B3">
        <w:rPr>
          <w:lang w:eastAsia="en-AU"/>
        </w:rPr>
        <w:t xml:space="preserve"> fall short of customer demand (that is, interruption to electricity supply </w:t>
      </w:r>
      <w:r w:rsidR="00D647DE">
        <w:rPr>
          <w:lang w:eastAsia="en-AU"/>
        </w:rPr>
        <w:t>resulting from</w:t>
      </w:r>
      <w:r w:rsidR="00525096">
        <w:rPr>
          <w:lang w:eastAsia="en-AU"/>
        </w:rPr>
        <w:t xml:space="preserve"> inadequate generating capacity</w:t>
      </w:r>
      <w:r w:rsidR="007546CB">
        <w:rPr>
          <w:lang w:eastAsia="en-AU"/>
        </w:rPr>
        <w:t>)</w:t>
      </w:r>
      <w:r w:rsidR="00D647DE">
        <w:rPr>
          <w:lang w:eastAsia="en-AU"/>
        </w:rPr>
        <w:t>.</w:t>
      </w:r>
      <w:r w:rsidR="00D647DE">
        <w:rPr>
          <w:rStyle w:val="FootnoteReference"/>
          <w:lang w:eastAsia="en-AU"/>
        </w:rPr>
        <w:footnoteReference w:id="4"/>
      </w:r>
      <w:r w:rsidR="009C3F1D">
        <w:rPr>
          <w:lang w:eastAsia="en-AU"/>
        </w:rPr>
        <w:t xml:space="preserve"> </w:t>
      </w:r>
      <w:r w:rsidR="00D647DE">
        <w:rPr>
          <w:lang w:eastAsia="en-AU"/>
        </w:rPr>
        <w:t>T</w:t>
      </w:r>
      <w:r w:rsidR="009C3F1D">
        <w:rPr>
          <w:lang w:eastAsia="en-AU"/>
        </w:rPr>
        <w:t>his i</w:t>
      </w:r>
      <w:r w:rsidR="00525096">
        <w:rPr>
          <w:lang w:eastAsia="en-AU"/>
        </w:rPr>
        <w:t xml:space="preserve">s distinct from </w:t>
      </w:r>
      <w:r w:rsidR="009C3F1D">
        <w:rPr>
          <w:lang w:eastAsia="en-AU"/>
        </w:rPr>
        <w:t xml:space="preserve">interruptions due to </w:t>
      </w:r>
      <w:r w:rsidR="00525096">
        <w:rPr>
          <w:lang w:eastAsia="en-AU"/>
        </w:rPr>
        <w:t xml:space="preserve">inadequate network capacity or instability in operation which </w:t>
      </w:r>
      <w:r w:rsidR="009C3F1D">
        <w:rPr>
          <w:lang w:eastAsia="en-AU"/>
        </w:rPr>
        <w:t>can also</w:t>
      </w:r>
      <w:r w:rsidR="00525096">
        <w:rPr>
          <w:lang w:eastAsia="en-AU"/>
        </w:rPr>
        <w:t xml:space="preserve"> c</w:t>
      </w:r>
      <w:r w:rsidR="00CB79B9">
        <w:rPr>
          <w:lang w:eastAsia="en-AU"/>
        </w:rPr>
        <w:t>a</w:t>
      </w:r>
      <w:r w:rsidR="00525096">
        <w:rPr>
          <w:lang w:eastAsia="en-AU"/>
        </w:rPr>
        <w:t>use interruptions</w:t>
      </w:r>
      <w:r w:rsidR="009B46B3">
        <w:rPr>
          <w:lang w:eastAsia="en-AU"/>
        </w:rPr>
        <w:t xml:space="preserve">. </w:t>
      </w:r>
      <w:proofErr w:type="spellStart"/>
      <w:r w:rsidR="00525096">
        <w:rPr>
          <w:lang w:eastAsia="en-AU"/>
        </w:rPr>
        <w:t>LoLH</w:t>
      </w:r>
      <w:proofErr w:type="spellEnd"/>
      <w:r w:rsidR="009B46B3">
        <w:rPr>
          <w:lang w:eastAsia="en-AU"/>
        </w:rPr>
        <w:t xml:space="preserve"> is</w:t>
      </w:r>
      <w:r w:rsidR="006B3C4E">
        <w:rPr>
          <w:lang w:eastAsia="en-AU"/>
        </w:rPr>
        <w:t xml:space="preserve"> considered the most appropriate form of standard due to the relatively flat demand profile of </w:t>
      </w:r>
      <w:r w:rsidR="0059173B">
        <w:rPr>
          <w:lang w:eastAsia="en-AU"/>
        </w:rPr>
        <w:t xml:space="preserve">demand in </w:t>
      </w:r>
      <w:r w:rsidR="006B3C4E">
        <w:rPr>
          <w:lang w:eastAsia="en-AU"/>
        </w:rPr>
        <w:t xml:space="preserve">the </w:t>
      </w:r>
      <w:r w:rsidR="0059173B">
        <w:rPr>
          <w:lang w:eastAsia="en-AU"/>
        </w:rPr>
        <w:t>DKIS</w:t>
      </w:r>
      <w:r>
        <w:rPr>
          <w:lang w:eastAsia="en-AU"/>
        </w:rPr>
        <w:t>.</w:t>
      </w:r>
      <w:r w:rsidR="006B3C4E">
        <w:rPr>
          <w:lang w:eastAsia="en-AU"/>
        </w:rPr>
        <w:t xml:space="preserve"> </w:t>
      </w:r>
    </w:p>
    <w:p w14:paraId="186DD0A0" w14:textId="664358C1" w:rsidR="007B6500" w:rsidRDefault="006B3C4E" w:rsidP="006B3C4E">
      <w:pPr>
        <w:rPr>
          <w:lang w:eastAsia="en-AU"/>
        </w:rPr>
      </w:pPr>
      <w:r>
        <w:rPr>
          <w:lang w:eastAsia="en-AU"/>
        </w:rPr>
        <w:t xml:space="preserve">The level of the </w:t>
      </w:r>
      <w:r w:rsidR="007957F3">
        <w:rPr>
          <w:lang w:eastAsia="en-AU"/>
        </w:rPr>
        <w:t xml:space="preserve">LOLH reliability </w:t>
      </w:r>
      <w:r>
        <w:rPr>
          <w:lang w:eastAsia="en-AU"/>
        </w:rPr>
        <w:t xml:space="preserve">standard </w:t>
      </w:r>
      <w:r w:rsidR="007957F3">
        <w:rPr>
          <w:lang w:eastAsia="en-AU"/>
        </w:rPr>
        <w:t>will</w:t>
      </w:r>
      <w:r>
        <w:rPr>
          <w:lang w:eastAsia="en-AU"/>
        </w:rPr>
        <w:t xml:space="preserve"> be determined through detailed r</w:t>
      </w:r>
      <w:r w:rsidR="007957F3">
        <w:rPr>
          <w:lang w:eastAsia="en-AU"/>
        </w:rPr>
        <w:t xml:space="preserve">eliability analysis modelling. </w:t>
      </w:r>
      <w:r w:rsidR="00AD7263">
        <w:rPr>
          <w:lang w:eastAsia="en-AU"/>
        </w:rPr>
        <w:t>E</w:t>
      </w:r>
      <w:r>
        <w:rPr>
          <w:lang w:eastAsia="en-AU"/>
        </w:rPr>
        <w:t xml:space="preserve">xpert assistance </w:t>
      </w:r>
      <w:r w:rsidR="00AD7263">
        <w:rPr>
          <w:lang w:eastAsia="en-AU"/>
        </w:rPr>
        <w:t xml:space="preserve">will be sought </w:t>
      </w:r>
      <w:r>
        <w:rPr>
          <w:lang w:eastAsia="en-AU"/>
        </w:rPr>
        <w:t xml:space="preserve">to undertake modelling of the impact on </w:t>
      </w:r>
      <w:r w:rsidR="009B46B3">
        <w:rPr>
          <w:lang w:eastAsia="en-AU"/>
        </w:rPr>
        <w:t>the supply of electricity</w:t>
      </w:r>
      <w:r>
        <w:rPr>
          <w:lang w:eastAsia="en-AU"/>
        </w:rPr>
        <w:t xml:space="preserve"> delivered to customers</w:t>
      </w:r>
      <w:r w:rsidR="009C3F1D">
        <w:rPr>
          <w:lang w:eastAsia="en-AU"/>
        </w:rPr>
        <w:t xml:space="preserve"> (for different levels of reliability)</w:t>
      </w:r>
      <w:r>
        <w:rPr>
          <w:lang w:eastAsia="en-AU"/>
        </w:rPr>
        <w:t xml:space="preserve"> and the </w:t>
      </w:r>
      <w:r w:rsidR="009B46B3">
        <w:rPr>
          <w:lang w:eastAsia="en-AU"/>
        </w:rPr>
        <w:t xml:space="preserve">associated </w:t>
      </w:r>
      <w:r>
        <w:rPr>
          <w:lang w:eastAsia="en-AU"/>
        </w:rPr>
        <w:t xml:space="preserve">capital and operating cost implications. </w:t>
      </w:r>
      <w:r w:rsidR="009B46B3">
        <w:rPr>
          <w:lang w:eastAsia="en-AU"/>
        </w:rPr>
        <w:t>Following completion of the work, t</w:t>
      </w:r>
      <w:r>
        <w:rPr>
          <w:lang w:eastAsia="en-AU"/>
        </w:rPr>
        <w:t xml:space="preserve">he form and level of the </w:t>
      </w:r>
      <w:r w:rsidR="00503B62">
        <w:rPr>
          <w:lang w:eastAsia="en-AU"/>
        </w:rPr>
        <w:t>r</w:t>
      </w:r>
      <w:r>
        <w:rPr>
          <w:lang w:eastAsia="en-AU"/>
        </w:rPr>
        <w:t xml:space="preserve">eliability </w:t>
      </w:r>
      <w:r w:rsidR="00503B62">
        <w:rPr>
          <w:lang w:eastAsia="en-AU"/>
        </w:rPr>
        <w:t>s</w:t>
      </w:r>
      <w:r>
        <w:rPr>
          <w:lang w:eastAsia="en-AU"/>
        </w:rPr>
        <w:t>tandard will be formally established</w:t>
      </w:r>
      <w:r w:rsidR="00503B62">
        <w:rPr>
          <w:lang w:eastAsia="en-AU"/>
        </w:rPr>
        <w:t xml:space="preserve"> </w:t>
      </w:r>
      <w:r w:rsidR="00D647DE">
        <w:rPr>
          <w:lang w:eastAsia="en-AU"/>
        </w:rPr>
        <w:t xml:space="preserve">by government </w:t>
      </w:r>
      <w:r w:rsidR="00503B62">
        <w:rPr>
          <w:lang w:eastAsia="en-AU"/>
        </w:rPr>
        <w:t>through regulatory instruments.</w:t>
      </w:r>
      <w:r w:rsidR="007957F3">
        <w:rPr>
          <w:lang w:eastAsia="en-AU"/>
        </w:rPr>
        <w:t xml:space="preserve"> </w:t>
      </w:r>
    </w:p>
    <w:p w14:paraId="47E95594" w14:textId="7C1EDE26" w:rsidR="00083416" w:rsidRPr="002C0B0F" w:rsidRDefault="00083416" w:rsidP="002C0B0F">
      <w:pPr>
        <w:pStyle w:val="Heading2"/>
      </w:pPr>
      <w:bookmarkStart w:id="5" w:name="_Toc59188460"/>
      <w:r w:rsidRPr="002C0B0F">
        <w:t>The Reliability Manager</w:t>
      </w:r>
      <w:bookmarkEnd w:id="5"/>
    </w:p>
    <w:p w14:paraId="473D651F" w14:textId="6E7DDFC2" w:rsidR="00592571" w:rsidRPr="002C0B0F" w:rsidRDefault="00D647DE" w:rsidP="00592571">
      <w:r>
        <w:rPr>
          <w:lang w:eastAsia="en-AU"/>
        </w:rPr>
        <w:t>The framework for ensuring there is sufficient capacity to meet the r</w:t>
      </w:r>
      <w:r w:rsidR="00592571">
        <w:rPr>
          <w:lang w:eastAsia="en-AU"/>
        </w:rPr>
        <w:t xml:space="preserve">eliability </w:t>
      </w:r>
      <w:r>
        <w:rPr>
          <w:lang w:eastAsia="en-AU"/>
        </w:rPr>
        <w:t xml:space="preserve">standard </w:t>
      </w:r>
      <w:r w:rsidR="00592571">
        <w:rPr>
          <w:lang w:eastAsia="en-AU"/>
        </w:rPr>
        <w:t xml:space="preserve">will be </w:t>
      </w:r>
      <w:r>
        <w:rPr>
          <w:lang w:eastAsia="en-AU"/>
        </w:rPr>
        <w:t xml:space="preserve">administered </w:t>
      </w:r>
      <w:r w:rsidR="00592571">
        <w:rPr>
          <w:lang w:eastAsia="en-AU"/>
        </w:rPr>
        <w:t xml:space="preserve">by a new function, the Reliability Manager. The Reliability Manager function is proposed to be assigned to the </w:t>
      </w:r>
      <w:r w:rsidR="00592571" w:rsidRPr="0047452B">
        <w:t>System Control</w:t>
      </w:r>
      <w:r w:rsidR="00592571">
        <w:t>le</w:t>
      </w:r>
      <w:r w:rsidR="00BD3AC6">
        <w:t>r</w:t>
      </w:r>
      <w:r w:rsidR="00592571">
        <w:rPr>
          <w:lang w:eastAsia="en-AU"/>
        </w:rPr>
        <w:t>. Section 4 outlines in more detail the responsibilities of the role.</w:t>
      </w:r>
      <w:r w:rsidR="00BD3AC6">
        <w:rPr>
          <w:lang w:eastAsia="en-AU"/>
        </w:rPr>
        <w:t xml:space="preserve"> The</w:t>
      </w:r>
      <w:r w:rsidR="00592571">
        <w:rPr>
          <w:lang w:eastAsia="en-AU"/>
        </w:rPr>
        <w:t xml:space="preserve"> </w:t>
      </w:r>
      <w:r w:rsidR="00592571">
        <w:t>System Control</w:t>
      </w:r>
      <w:r w:rsidR="00BD3AC6">
        <w:t>ler</w:t>
      </w:r>
      <w:r w:rsidR="00592571" w:rsidRPr="0047452B">
        <w:t xml:space="preserve"> has been determined as t</w:t>
      </w:r>
      <w:r w:rsidR="00592571" w:rsidRPr="00A07DFA">
        <w:t xml:space="preserve">he most suitable party to perform the Reliability Manager </w:t>
      </w:r>
      <w:r w:rsidR="00592571">
        <w:t>function</w:t>
      </w:r>
      <w:r w:rsidR="00592571" w:rsidRPr="00A07DFA">
        <w:t xml:space="preserve"> because it already has whole</w:t>
      </w:r>
      <w:r w:rsidR="00592571" w:rsidRPr="00A07DFA">
        <w:noBreakHyphen/>
        <w:t>of</w:t>
      </w:r>
      <w:r w:rsidR="00592571" w:rsidRPr="00A07DFA">
        <w:noBreakHyphen/>
        <w:t xml:space="preserve">power system responsibilities and functions. It is also </w:t>
      </w:r>
      <w:r w:rsidR="00592571">
        <w:t>well</w:t>
      </w:r>
      <w:r w:rsidR="00592571" w:rsidRPr="00A07DFA">
        <w:t xml:space="preserve"> placed to </w:t>
      </w:r>
      <w:r w:rsidR="00592571">
        <w:t xml:space="preserve">be able to </w:t>
      </w:r>
      <w:r w:rsidR="00592571" w:rsidRPr="00A07DFA">
        <w:t>source the information required for the management of reliability in the DKIS and have the necessary technical expertise</w:t>
      </w:r>
      <w:r w:rsidR="00592571">
        <w:t xml:space="preserve"> to perform the </w:t>
      </w:r>
      <w:r w:rsidR="00592571" w:rsidRPr="002C0B0F">
        <w:t>role.</w:t>
      </w:r>
      <w:r w:rsidR="00592571">
        <w:rPr>
          <w:rStyle w:val="FootnoteReference"/>
        </w:rPr>
        <w:footnoteReference w:id="5"/>
      </w:r>
    </w:p>
    <w:tbl>
      <w:tblPr>
        <w:tblStyle w:val="TableGrid"/>
        <w:tblW w:w="0" w:type="auto"/>
        <w:tblLook w:val="04A0" w:firstRow="1" w:lastRow="0" w:firstColumn="1" w:lastColumn="0" w:noHBand="0" w:noVBand="1"/>
      </w:tblPr>
      <w:tblGrid>
        <w:gridCol w:w="10308"/>
      </w:tblGrid>
      <w:tr w:rsidR="00592571" w14:paraId="0B99D4A8" w14:textId="77777777" w:rsidTr="00592571">
        <w:tc>
          <w:tcPr>
            <w:tcW w:w="10308" w:type="dxa"/>
          </w:tcPr>
          <w:p w14:paraId="28A24FDE" w14:textId="00A2B410" w:rsidR="00592571" w:rsidRPr="00E07AE2" w:rsidRDefault="00592571" w:rsidP="00592571">
            <w:pPr>
              <w:spacing w:before="200"/>
              <w:rPr>
                <w:b/>
              </w:rPr>
            </w:pPr>
            <w:r w:rsidRPr="009A4556">
              <w:rPr>
                <w:b/>
                <w:caps/>
              </w:rPr>
              <w:t>C</w:t>
            </w:r>
            <w:r w:rsidR="009A4556" w:rsidRPr="009A4556">
              <w:rPr>
                <w:b/>
                <w:caps/>
              </w:rPr>
              <w:t>onsultation question</w:t>
            </w:r>
            <w:r w:rsidRPr="00E07AE2">
              <w:rPr>
                <w:b/>
              </w:rPr>
              <w:t>:</w:t>
            </w:r>
          </w:p>
          <w:p w14:paraId="27BCA886" w14:textId="3E564A8B" w:rsidR="00592571" w:rsidRPr="00592571" w:rsidRDefault="00592571" w:rsidP="00592571">
            <w:pPr>
              <w:pStyle w:val="ListParagraph"/>
              <w:numPr>
                <w:ilvl w:val="0"/>
                <w:numId w:val="65"/>
              </w:numPr>
              <w:spacing w:after="200"/>
              <w:ind w:left="714" w:hanging="357"/>
              <w:rPr>
                <w:rFonts w:ascii="Arial" w:hAnsi="Arial" w:cs="Arial"/>
              </w:rPr>
            </w:pPr>
            <w:r>
              <w:t>What other matters need to be considered in determining who should undertake the Reliability Manager function for the DKIS?</w:t>
            </w:r>
          </w:p>
        </w:tc>
      </w:tr>
    </w:tbl>
    <w:p w14:paraId="4E5AF9CD" w14:textId="5531341D" w:rsidR="00083416" w:rsidRDefault="00083416" w:rsidP="002C0B0F"/>
    <w:p w14:paraId="5BA93132" w14:textId="52EB0C12" w:rsidR="002C0B0F" w:rsidRDefault="002C0B0F" w:rsidP="002C0B0F">
      <w:r>
        <w:br w:type="page"/>
      </w:r>
    </w:p>
    <w:p w14:paraId="132E007F" w14:textId="1F41D2F1" w:rsidR="007B6500" w:rsidRPr="002C0B0F" w:rsidRDefault="00CA2C76" w:rsidP="002C0B0F">
      <w:pPr>
        <w:pStyle w:val="Heading1"/>
      </w:pPr>
      <w:bookmarkStart w:id="6" w:name="_Toc59188461"/>
      <w:r w:rsidRPr="002C0B0F">
        <w:lastRenderedPageBreak/>
        <w:t>A</w:t>
      </w:r>
      <w:r w:rsidR="007B6500" w:rsidRPr="002C0B0F">
        <w:t>pproach</w:t>
      </w:r>
      <w:r w:rsidRPr="002C0B0F">
        <w:t>es</w:t>
      </w:r>
      <w:r w:rsidR="007B6500" w:rsidRPr="002C0B0F">
        <w:t xml:space="preserve"> to </w:t>
      </w:r>
      <w:r w:rsidR="00B92929" w:rsidRPr="002C0B0F">
        <w:t>achieving</w:t>
      </w:r>
      <w:r w:rsidR="007B6500" w:rsidRPr="002C0B0F">
        <w:t xml:space="preserve"> the reliability standard</w:t>
      </w:r>
      <w:bookmarkEnd w:id="6"/>
    </w:p>
    <w:p w14:paraId="39A16404" w14:textId="07174B55" w:rsidR="00CA2C76" w:rsidRPr="002C0B0F" w:rsidRDefault="00CA2C76" w:rsidP="002C0B0F">
      <w:pPr>
        <w:pStyle w:val="Heading2"/>
      </w:pPr>
      <w:bookmarkStart w:id="7" w:name="_Toc59188462"/>
      <w:r w:rsidRPr="002C0B0F">
        <w:t>Options for ensuring capacity adequacy</w:t>
      </w:r>
      <w:bookmarkEnd w:id="7"/>
    </w:p>
    <w:p w14:paraId="325D6F53" w14:textId="3A4CBEED" w:rsidR="00AE10F7" w:rsidRDefault="00B92929" w:rsidP="009D6F9E">
      <w:pPr>
        <w:spacing w:after="120"/>
        <w:rPr>
          <w:lang w:eastAsia="en-AU"/>
        </w:rPr>
      </w:pPr>
      <w:r>
        <w:rPr>
          <w:lang w:eastAsia="en-AU"/>
        </w:rPr>
        <w:t xml:space="preserve">A </w:t>
      </w:r>
      <w:r w:rsidR="00A80627">
        <w:rPr>
          <w:lang w:eastAsia="en-AU"/>
        </w:rPr>
        <w:t>key</w:t>
      </w:r>
      <w:r>
        <w:rPr>
          <w:lang w:eastAsia="en-AU"/>
        </w:rPr>
        <w:t xml:space="preserve"> </w:t>
      </w:r>
      <w:r w:rsidR="00477FB3">
        <w:rPr>
          <w:lang w:eastAsia="en-AU"/>
        </w:rPr>
        <w:t xml:space="preserve">market </w:t>
      </w:r>
      <w:r>
        <w:rPr>
          <w:lang w:eastAsia="en-AU"/>
        </w:rPr>
        <w:t xml:space="preserve">design </w:t>
      </w:r>
      <w:r w:rsidR="00A80627">
        <w:rPr>
          <w:lang w:eastAsia="en-AU"/>
        </w:rPr>
        <w:t>element of</w:t>
      </w:r>
      <w:r>
        <w:rPr>
          <w:lang w:eastAsia="en-AU"/>
        </w:rPr>
        <w:t xml:space="preserve"> the NTEM </w:t>
      </w:r>
      <w:r w:rsidR="00A07DFA">
        <w:rPr>
          <w:lang w:eastAsia="en-AU"/>
        </w:rPr>
        <w:t xml:space="preserve">Priority Reform Program </w:t>
      </w:r>
      <w:r>
        <w:rPr>
          <w:lang w:eastAsia="en-AU"/>
        </w:rPr>
        <w:t>is the choice of approach for ensuring there is adequate capacity to achieve the reliability standard</w:t>
      </w:r>
      <w:r w:rsidR="00477FB3">
        <w:rPr>
          <w:lang w:eastAsia="en-AU"/>
        </w:rPr>
        <w:t xml:space="preserve">. </w:t>
      </w:r>
      <w:r w:rsidR="00A80627">
        <w:rPr>
          <w:lang w:eastAsia="en-AU"/>
        </w:rPr>
        <w:t>Internationally, t</w:t>
      </w:r>
      <w:r w:rsidR="00477FB3">
        <w:rPr>
          <w:lang w:eastAsia="en-AU"/>
        </w:rPr>
        <w:t>here are a number of approaches ranging from market</w:t>
      </w:r>
      <w:r w:rsidR="009C3F1D">
        <w:rPr>
          <w:lang w:eastAsia="en-AU"/>
        </w:rPr>
        <w:t>-</w:t>
      </w:r>
      <w:r w:rsidR="00477FB3">
        <w:rPr>
          <w:lang w:eastAsia="en-AU"/>
        </w:rPr>
        <w:t>based</w:t>
      </w:r>
      <w:r w:rsidR="00FE03E0">
        <w:rPr>
          <w:lang w:eastAsia="en-AU"/>
        </w:rPr>
        <w:t xml:space="preserve"> mechanisms through to more administrative structures</w:t>
      </w:r>
      <w:r w:rsidR="002A35DB">
        <w:rPr>
          <w:rStyle w:val="FootnoteReference"/>
          <w:lang w:eastAsia="en-AU"/>
        </w:rPr>
        <w:footnoteReference w:id="6"/>
      </w:r>
      <w:r w:rsidR="00FE03E0">
        <w:rPr>
          <w:lang w:eastAsia="en-AU"/>
        </w:rPr>
        <w:t>.</w:t>
      </w:r>
      <w:r w:rsidR="009C3F1D">
        <w:rPr>
          <w:lang w:eastAsia="en-AU"/>
        </w:rPr>
        <w:t xml:space="preserve"> </w:t>
      </w:r>
      <w:r w:rsidR="000629D9">
        <w:rPr>
          <w:lang w:eastAsia="en-AU"/>
        </w:rPr>
        <w:t>The</w:t>
      </w:r>
      <w:r w:rsidR="004354F3">
        <w:rPr>
          <w:lang w:eastAsia="en-AU"/>
        </w:rPr>
        <w:t xml:space="preserve"> </w:t>
      </w:r>
      <w:r w:rsidR="000629D9">
        <w:rPr>
          <w:lang w:eastAsia="en-AU"/>
        </w:rPr>
        <w:t xml:space="preserve">approaches differ from each other in </w:t>
      </w:r>
      <w:r w:rsidR="004354F3">
        <w:rPr>
          <w:lang w:eastAsia="en-AU"/>
        </w:rPr>
        <w:t>terms of:</w:t>
      </w:r>
      <w:r w:rsidR="000629D9">
        <w:rPr>
          <w:lang w:eastAsia="en-AU"/>
        </w:rPr>
        <w:t xml:space="preserve"> </w:t>
      </w:r>
    </w:p>
    <w:p w14:paraId="72383022" w14:textId="5330014E" w:rsidR="004354F3" w:rsidRDefault="00FE03E0" w:rsidP="008722C4">
      <w:pPr>
        <w:pStyle w:val="Tablebulletlistlevel1"/>
        <w:spacing w:after="120"/>
        <w:ind w:left="567"/>
        <w:rPr>
          <w:lang w:eastAsia="en-AU"/>
        </w:rPr>
      </w:pPr>
      <w:r>
        <w:rPr>
          <w:lang w:eastAsia="en-AU"/>
        </w:rPr>
        <w:t>structure</w:t>
      </w:r>
      <w:r w:rsidR="004354F3">
        <w:rPr>
          <w:lang w:eastAsia="en-AU"/>
        </w:rPr>
        <w:t xml:space="preserve"> – </w:t>
      </w:r>
      <w:r w:rsidR="000629D9">
        <w:rPr>
          <w:lang w:eastAsia="en-AU"/>
        </w:rPr>
        <w:t>administrative/centralise</w:t>
      </w:r>
      <w:r w:rsidR="005B2DF5">
        <w:rPr>
          <w:lang w:eastAsia="en-AU"/>
        </w:rPr>
        <w:t xml:space="preserve">d </w:t>
      </w:r>
      <w:r w:rsidR="00EE6831">
        <w:rPr>
          <w:lang w:eastAsia="en-AU"/>
        </w:rPr>
        <w:t xml:space="preserve">mechanisms </w:t>
      </w:r>
      <w:r w:rsidR="005B2DF5">
        <w:rPr>
          <w:lang w:eastAsia="en-AU"/>
        </w:rPr>
        <w:t>or market-based/decentralised</w:t>
      </w:r>
      <w:r w:rsidR="00EE6831">
        <w:rPr>
          <w:lang w:eastAsia="en-AU"/>
        </w:rPr>
        <w:t xml:space="preserve"> mechanisms</w:t>
      </w:r>
    </w:p>
    <w:p w14:paraId="709B7DB0" w14:textId="5A2C1CE2" w:rsidR="004354F3" w:rsidRDefault="000629D9" w:rsidP="008722C4">
      <w:pPr>
        <w:pStyle w:val="Tablebulletlistlevel1"/>
        <w:spacing w:after="120"/>
        <w:ind w:left="567"/>
        <w:rPr>
          <w:lang w:eastAsia="en-AU"/>
        </w:rPr>
      </w:pPr>
      <w:r>
        <w:rPr>
          <w:lang w:eastAsia="en-AU"/>
        </w:rPr>
        <w:t xml:space="preserve">products </w:t>
      </w:r>
      <w:r w:rsidR="004354F3">
        <w:rPr>
          <w:lang w:eastAsia="en-AU"/>
        </w:rPr>
        <w:t xml:space="preserve">– </w:t>
      </w:r>
      <w:r w:rsidR="00EE6831">
        <w:rPr>
          <w:lang w:eastAsia="en-AU"/>
        </w:rPr>
        <w:t xml:space="preserve">actual </w:t>
      </w:r>
      <w:r w:rsidR="00937935">
        <w:rPr>
          <w:lang w:eastAsia="en-AU"/>
        </w:rPr>
        <w:t xml:space="preserve">capacity </w:t>
      </w:r>
      <w:r w:rsidR="00EE6831">
        <w:rPr>
          <w:lang w:eastAsia="en-AU"/>
        </w:rPr>
        <w:t xml:space="preserve">guaranteed to be available (firm </w:t>
      </w:r>
      <w:r>
        <w:rPr>
          <w:lang w:eastAsia="en-AU"/>
        </w:rPr>
        <w:t>capacity</w:t>
      </w:r>
      <w:r w:rsidR="00EE6831">
        <w:rPr>
          <w:lang w:eastAsia="en-AU"/>
        </w:rPr>
        <w:t>)</w:t>
      </w:r>
      <w:r>
        <w:rPr>
          <w:lang w:eastAsia="en-AU"/>
        </w:rPr>
        <w:t xml:space="preserve">, </w:t>
      </w:r>
      <w:r w:rsidR="00EE6831">
        <w:rPr>
          <w:lang w:eastAsia="en-AU"/>
        </w:rPr>
        <w:t>backup (</w:t>
      </w:r>
      <w:r>
        <w:rPr>
          <w:lang w:eastAsia="en-AU"/>
        </w:rPr>
        <w:t>reserve</w:t>
      </w:r>
      <w:r w:rsidR="00EE6831">
        <w:rPr>
          <w:lang w:eastAsia="en-AU"/>
        </w:rPr>
        <w:t>)</w:t>
      </w:r>
      <w:r>
        <w:rPr>
          <w:lang w:eastAsia="en-AU"/>
        </w:rPr>
        <w:t xml:space="preserve"> capacity or call option</w:t>
      </w:r>
      <w:r w:rsidR="00EE6831">
        <w:rPr>
          <w:lang w:eastAsia="en-AU"/>
        </w:rPr>
        <w:t xml:space="preserve"> (the holder of the option has the right [but not obligation] to buy/sell a specified amount of electricity during a particular time period in the future and at a fixed price) </w:t>
      </w:r>
    </w:p>
    <w:p w14:paraId="1831B42A" w14:textId="054CB9B1" w:rsidR="004354F3" w:rsidRDefault="000629D9" w:rsidP="008722C4">
      <w:pPr>
        <w:pStyle w:val="Tablebulletlistlevel1"/>
        <w:spacing w:after="120"/>
        <w:ind w:left="567"/>
        <w:rPr>
          <w:lang w:eastAsia="en-AU"/>
        </w:rPr>
      </w:pPr>
      <w:r>
        <w:rPr>
          <w:lang w:eastAsia="en-AU"/>
        </w:rPr>
        <w:t>purchaser</w:t>
      </w:r>
      <w:r w:rsidR="004354F3">
        <w:rPr>
          <w:lang w:eastAsia="en-AU"/>
        </w:rPr>
        <w:t xml:space="preserve"> – r</w:t>
      </w:r>
      <w:r>
        <w:rPr>
          <w:lang w:eastAsia="en-AU"/>
        </w:rPr>
        <w:t xml:space="preserve">etailer or </w:t>
      </w:r>
      <w:r w:rsidR="00EE6831">
        <w:rPr>
          <w:lang w:eastAsia="en-AU"/>
        </w:rPr>
        <w:t>central body/</w:t>
      </w:r>
      <w:r>
        <w:rPr>
          <w:lang w:eastAsia="en-AU"/>
        </w:rPr>
        <w:t>Reliability Manager</w:t>
      </w:r>
      <w:r w:rsidR="00AE10F7">
        <w:rPr>
          <w:lang w:eastAsia="en-AU"/>
        </w:rPr>
        <w:t>;</w:t>
      </w:r>
      <w:r>
        <w:rPr>
          <w:lang w:eastAsia="en-AU"/>
        </w:rPr>
        <w:t xml:space="preserve"> and </w:t>
      </w:r>
    </w:p>
    <w:p w14:paraId="4B56ACCE" w14:textId="2D9F0AC5" w:rsidR="0071608C" w:rsidRDefault="000629D9" w:rsidP="008722C4">
      <w:pPr>
        <w:pStyle w:val="Tablebulletlistlevel1"/>
        <w:spacing w:after="120"/>
        <w:ind w:left="567"/>
        <w:rPr>
          <w:lang w:eastAsia="en-AU"/>
        </w:rPr>
      </w:pPr>
      <w:proofErr w:type="gramStart"/>
      <w:r>
        <w:rPr>
          <w:lang w:eastAsia="en-AU"/>
        </w:rPr>
        <w:t>target</w:t>
      </w:r>
      <w:proofErr w:type="gramEnd"/>
      <w:r>
        <w:rPr>
          <w:lang w:eastAsia="en-AU"/>
        </w:rPr>
        <w:t xml:space="preserve"> </w:t>
      </w:r>
      <w:r w:rsidR="004354F3">
        <w:rPr>
          <w:lang w:eastAsia="en-AU"/>
        </w:rPr>
        <w:t xml:space="preserve">– </w:t>
      </w:r>
      <w:r>
        <w:rPr>
          <w:lang w:eastAsia="en-AU"/>
        </w:rPr>
        <w:t xml:space="preserve">volume-based </w:t>
      </w:r>
      <w:r w:rsidR="005B2DF5">
        <w:rPr>
          <w:lang w:eastAsia="en-AU"/>
        </w:rPr>
        <w:t xml:space="preserve">amount of capacity </w:t>
      </w:r>
      <w:r>
        <w:rPr>
          <w:lang w:eastAsia="en-AU"/>
        </w:rPr>
        <w:t>or price-based</w:t>
      </w:r>
      <w:r w:rsidR="005B2DF5">
        <w:rPr>
          <w:lang w:eastAsia="en-AU"/>
        </w:rPr>
        <w:t xml:space="preserve"> (where the </w:t>
      </w:r>
      <w:r w:rsidR="004354F3">
        <w:rPr>
          <w:lang w:eastAsia="en-AU"/>
        </w:rPr>
        <w:t xml:space="preserve">price </w:t>
      </w:r>
      <w:r w:rsidR="005B2DF5">
        <w:rPr>
          <w:lang w:eastAsia="en-AU"/>
        </w:rPr>
        <w:t xml:space="preserve">is set </w:t>
      </w:r>
      <w:r w:rsidR="004354F3">
        <w:rPr>
          <w:lang w:eastAsia="en-AU"/>
        </w:rPr>
        <w:t xml:space="preserve">and </w:t>
      </w:r>
      <w:r w:rsidR="005B2DF5">
        <w:rPr>
          <w:lang w:eastAsia="en-AU"/>
        </w:rPr>
        <w:t xml:space="preserve">the </w:t>
      </w:r>
      <w:r w:rsidR="004354F3">
        <w:rPr>
          <w:lang w:eastAsia="en-AU"/>
        </w:rPr>
        <w:t xml:space="preserve">market determines volume </w:t>
      </w:r>
      <w:r w:rsidR="004A61FD">
        <w:rPr>
          <w:lang w:eastAsia="en-AU"/>
        </w:rPr>
        <w:t xml:space="preserve">of capacity </w:t>
      </w:r>
      <w:r w:rsidR="004354F3">
        <w:rPr>
          <w:lang w:eastAsia="en-AU"/>
        </w:rPr>
        <w:t>supplied)</w:t>
      </w:r>
      <w:r>
        <w:rPr>
          <w:lang w:eastAsia="en-AU"/>
        </w:rPr>
        <w:t xml:space="preserve">. </w:t>
      </w:r>
    </w:p>
    <w:p w14:paraId="3DDC8ED0" w14:textId="7277AB82" w:rsidR="004C1C63" w:rsidRDefault="000B75C4" w:rsidP="008722C4">
      <w:pPr>
        <w:spacing w:before="200"/>
        <w:rPr>
          <w:lang w:eastAsia="en-AU"/>
        </w:rPr>
      </w:pPr>
      <w:r>
        <w:rPr>
          <w:lang w:eastAsia="en-AU"/>
        </w:rPr>
        <w:t>The most decentralised mechanism is an</w:t>
      </w:r>
      <w:r w:rsidR="00903DB1">
        <w:rPr>
          <w:lang w:eastAsia="en-AU"/>
        </w:rPr>
        <w:t xml:space="preserve"> e</w:t>
      </w:r>
      <w:r w:rsidR="004C1C63">
        <w:rPr>
          <w:lang w:eastAsia="en-AU"/>
        </w:rPr>
        <w:t xml:space="preserve">nergy-only </w:t>
      </w:r>
      <w:r>
        <w:rPr>
          <w:lang w:eastAsia="en-AU"/>
        </w:rPr>
        <w:t xml:space="preserve">wholesale </w:t>
      </w:r>
      <w:r w:rsidR="004C1C63">
        <w:rPr>
          <w:lang w:eastAsia="en-AU"/>
        </w:rPr>
        <w:t>market</w:t>
      </w:r>
      <w:r w:rsidR="002B5AAB">
        <w:rPr>
          <w:lang w:eastAsia="en-AU"/>
        </w:rPr>
        <w:t>,</w:t>
      </w:r>
      <w:r>
        <w:rPr>
          <w:lang w:eastAsia="en-AU"/>
        </w:rPr>
        <w:t xml:space="preserve"> </w:t>
      </w:r>
      <w:r w:rsidR="002A35DB">
        <w:rPr>
          <w:lang w:eastAsia="en-AU"/>
        </w:rPr>
        <w:t xml:space="preserve">so called because </w:t>
      </w:r>
      <w:r w:rsidR="004C1C63">
        <w:rPr>
          <w:lang w:eastAsia="en-AU"/>
        </w:rPr>
        <w:t xml:space="preserve">generators </w:t>
      </w:r>
      <w:r w:rsidR="00903DB1">
        <w:rPr>
          <w:lang w:eastAsia="en-AU"/>
        </w:rPr>
        <w:t xml:space="preserve">are </w:t>
      </w:r>
      <w:r w:rsidR="002A35DB">
        <w:rPr>
          <w:lang w:eastAsia="en-AU"/>
        </w:rPr>
        <w:t xml:space="preserve">only </w:t>
      </w:r>
      <w:r w:rsidR="00687A08">
        <w:rPr>
          <w:lang w:eastAsia="en-AU"/>
        </w:rPr>
        <w:t xml:space="preserve">paid </w:t>
      </w:r>
      <w:r w:rsidR="00CC4684">
        <w:rPr>
          <w:lang w:eastAsia="en-AU"/>
        </w:rPr>
        <w:t xml:space="preserve">from the market </w:t>
      </w:r>
      <w:r w:rsidR="002A35DB">
        <w:rPr>
          <w:lang w:eastAsia="en-AU"/>
        </w:rPr>
        <w:t xml:space="preserve">when </w:t>
      </w:r>
      <w:r w:rsidR="00903DB1">
        <w:rPr>
          <w:lang w:eastAsia="en-AU"/>
        </w:rPr>
        <w:t xml:space="preserve">electricity </w:t>
      </w:r>
      <w:r w:rsidR="002A35DB">
        <w:rPr>
          <w:lang w:eastAsia="en-AU"/>
        </w:rPr>
        <w:t xml:space="preserve">is </w:t>
      </w:r>
      <w:r w:rsidR="00687A08">
        <w:rPr>
          <w:lang w:eastAsia="en-AU"/>
        </w:rPr>
        <w:t>supplied</w:t>
      </w:r>
      <w:r w:rsidR="002A35DB">
        <w:rPr>
          <w:lang w:eastAsia="en-AU"/>
        </w:rPr>
        <w:t xml:space="preserve">. The price paid </w:t>
      </w:r>
      <w:r w:rsidR="00CC4684">
        <w:rPr>
          <w:lang w:eastAsia="en-AU"/>
        </w:rPr>
        <w:t xml:space="preserve">is the only source of market revenue </w:t>
      </w:r>
      <w:r w:rsidR="002A35DB">
        <w:rPr>
          <w:lang w:eastAsia="en-AU"/>
        </w:rPr>
        <w:t>to cover both capital and operating costs of generators</w:t>
      </w:r>
      <w:r w:rsidR="00CC4684">
        <w:rPr>
          <w:lang w:eastAsia="en-AU"/>
        </w:rPr>
        <w:t xml:space="preserve">. </w:t>
      </w:r>
      <w:r w:rsidR="00405DFC">
        <w:rPr>
          <w:lang w:eastAsia="en-AU"/>
        </w:rPr>
        <w:t>In this form of market</w:t>
      </w:r>
      <w:r w:rsidR="00F82B6F">
        <w:rPr>
          <w:lang w:eastAsia="en-AU"/>
        </w:rPr>
        <w:t>,</w:t>
      </w:r>
      <w:r w:rsidR="00405DFC">
        <w:rPr>
          <w:lang w:eastAsia="en-AU"/>
        </w:rPr>
        <w:t xml:space="preserve"> generators and retailers often arrange financial contracts between themselves</w:t>
      </w:r>
      <w:r w:rsidR="009665D7">
        <w:rPr>
          <w:lang w:eastAsia="en-AU"/>
        </w:rPr>
        <w:t xml:space="preserve"> to manage the risk of extreme prices</w:t>
      </w:r>
      <w:r w:rsidR="002B5AAB">
        <w:rPr>
          <w:lang w:eastAsia="en-AU"/>
        </w:rPr>
        <w:t xml:space="preserve"> and these contracts can dominate the commercial transactions in the market</w:t>
      </w:r>
      <w:r w:rsidR="00405DFC">
        <w:rPr>
          <w:lang w:eastAsia="en-AU"/>
        </w:rPr>
        <w:t>.</w:t>
      </w:r>
      <w:r w:rsidR="00CC4684">
        <w:rPr>
          <w:lang w:eastAsia="en-AU"/>
        </w:rPr>
        <w:t xml:space="preserve">  Alternative commercial arrangements </w:t>
      </w:r>
      <w:r w:rsidR="002E4FC2">
        <w:rPr>
          <w:lang w:eastAsia="en-AU"/>
        </w:rPr>
        <w:t xml:space="preserve">are increasingly being used, </w:t>
      </w:r>
      <w:r w:rsidR="00CC4684">
        <w:rPr>
          <w:lang w:eastAsia="en-AU"/>
        </w:rPr>
        <w:t>for example P</w:t>
      </w:r>
      <w:r w:rsidR="00FC3F0E">
        <w:rPr>
          <w:lang w:eastAsia="en-AU"/>
        </w:rPr>
        <w:t>ower Purchase Agreements (PPA)</w:t>
      </w:r>
      <w:r w:rsidR="002E4FC2">
        <w:rPr>
          <w:lang w:eastAsia="en-AU"/>
        </w:rPr>
        <w:t xml:space="preserve"> where generators sell directly to a retailer for a negotiated price </w:t>
      </w:r>
      <w:r w:rsidR="007A7F8D">
        <w:rPr>
          <w:lang w:eastAsia="en-AU"/>
        </w:rPr>
        <w:t>and various forms of financial instruments with prices referenced off a market price</w:t>
      </w:r>
      <w:r w:rsidR="00CC4684">
        <w:rPr>
          <w:lang w:eastAsia="en-AU"/>
        </w:rPr>
        <w:t>.</w:t>
      </w:r>
      <w:r w:rsidR="007A7F8D">
        <w:rPr>
          <w:lang w:eastAsia="en-AU"/>
        </w:rPr>
        <w:t xml:space="preserve"> </w:t>
      </w:r>
    </w:p>
    <w:p w14:paraId="31E2643B" w14:textId="0E2FB4FD" w:rsidR="000B75C4" w:rsidRDefault="00072AA8" w:rsidP="000629D9">
      <w:pPr>
        <w:rPr>
          <w:lang w:eastAsia="en-AU"/>
        </w:rPr>
      </w:pPr>
      <w:r>
        <w:rPr>
          <w:lang w:eastAsia="en-AU"/>
        </w:rPr>
        <w:t xml:space="preserve">Energy-only markets </w:t>
      </w:r>
      <w:r w:rsidR="002A35DB">
        <w:rPr>
          <w:lang w:eastAsia="en-AU"/>
        </w:rPr>
        <w:t>create commercial incentives for investment</w:t>
      </w:r>
      <w:r w:rsidR="009C3F1D">
        <w:rPr>
          <w:lang w:eastAsia="en-AU"/>
        </w:rPr>
        <w:t>,</w:t>
      </w:r>
      <w:r w:rsidR="002A35DB">
        <w:rPr>
          <w:lang w:eastAsia="en-AU"/>
        </w:rPr>
        <w:t xml:space="preserve"> but </w:t>
      </w:r>
      <w:r>
        <w:rPr>
          <w:lang w:eastAsia="en-AU"/>
        </w:rPr>
        <w:t>do not guarantee enough capacity will be available to meet a desired standard of reliability</w:t>
      </w:r>
      <w:r w:rsidR="000B75C4">
        <w:rPr>
          <w:lang w:eastAsia="en-AU"/>
        </w:rPr>
        <w:t xml:space="preserve">. </w:t>
      </w:r>
      <w:r w:rsidR="002A35DB">
        <w:rPr>
          <w:lang w:eastAsia="en-AU"/>
        </w:rPr>
        <w:t>As a result</w:t>
      </w:r>
      <w:r w:rsidR="009C3F1D">
        <w:rPr>
          <w:lang w:eastAsia="en-AU"/>
        </w:rPr>
        <w:t>,</w:t>
      </w:r>
      <w:r w:rsidR="002A35DB">
        <w:rPr>
          <w:lang w:eastAsia="en-AU"/>
        </w:rPr>
        <w:t xml:space="preserve"> energy only market</w:t>
      </w:r>
      <w:r w:rsidR="00CB79B9">
        <w:rPr>
          <w:lang w:eastAsia="en-AU"/>
        </w:rPr>
        <w:t>s</w:t>
      </w:r>
      <w:r w:rsidR="002A35DB">
        <w:rPr>
          <w:lang w:eastAsia="en-AU"/>
        </w:rPr>
        <w:t xml:space="preserve"> often include a ‘back stop’ arrangement</w:t>
      </w:r>
      <w:r w:rsidR="009C3F1D">
        <w:rPr>
          <w:lang w:eastAsia="en-AU"/>
        </w:rPr>
        <w:t xml:space="preserve"> </w:t>
      </w:r>
      <w:r w:rsidR="00CB79B9">
        <w:rPr>
          <w:lang w:eastAsia="en-AU"/>
        </w:rPr>
        <w:t>that can be activated by a central authority or regulator if forecasts of supply and demand indicate sufficient capacity is unlikely to be available</w:t>
      </w:r>
      <w:r w:rsidR="002A35DB">
        <w:rPr>
          <w:lang w:eastAsia="en-AU"/>
        </w:rPr>
        <w:t>.</w:t>
      </w:r>
      <w:r w:rsidR="00F61B92">
        <w:rPr>
          <w:lang w:eastAsia="en-AU"/>
        </w:rPr>
        <w:t xml:space="preserve"> More generally, backstop arrangements are commonly included in market designs that rely on incentives, rather than obligations on market participants to make or contract for investments.</w:t>
      </w:r>
      <w:r w:rsidR="00EE3CCD">
        <w:rPr>
          <w:lang w:eastAsia="en-AU"/>
        </w:rPr>
        <w:t xml:space="preserve">  The rules for these markets must set out criteria for triggering the backstop.</w:t>
      </w:r>
    </w:p>
    <w:p w14:paraId="6CBE9F64" w14:textId="77777777" w:rsidR="00996957" w:rsidRDefault="002A35DB" w:rsidP="009D6F9E">
      <w:pPr>
        <w:spacing w:after="120"/>
        <w:rPr>
          <w:lang w:eastAsia="en-AU"/>
        </w:rPr>
      </w:pPr>
      <w:r>
        <w:rPr>
          <w:lang w:eastAsia="en-AU"/>
        </w:rPr>
        <w:t xml:space="preserve">Other </w:t>
      </w:r>
      <w:r w:rsidR="006A2948">
        <w:rPr>
          <w:lang w:eastAsia="en-AU"/>
        </w:rPr>
        <w:t xml:space="preserve">electricity markets </w:t>
      </w:r>
      <w:r>
        <w:rPr>
          <w:lang w:eastAsia="en-AU"/>
        </w:rPr>
        <w:t xml:space="preserve">use a different approach and </w:t>
      </w:r>
      <w:r w:rsidR="002B5AAB">
        <w:rPr>
          <w:lang w:eastAsia="en-AU"/>
        </w:rPr>
        <w:t>have linked, but separate, capacity and energy arrangements.</w:t>
      </w:r>
      <w:r w:rsidR="009C3F1D">
        <w:rPr>
          <w:lang w:eastAsia="en-AU"/>
        </w:rPr>
        <w:t xml:space="preserve"> </w:t>
      </w:r>
      <w:r w:rsidR="00F61B92">
        <w:rPr>
          <w:lang w:eastAsia="en-AU"/>
        </w:rPr>
        <w:t>C</w:t>
      </w:r>
      <w:r w:rsidR="002B5AAB">
        <w:rPr>
          <w:lang w:eastAsia="en-AU"/>
        </w:rPr>
        <w:t xml:space="preserve">apacity and energy markets are designed to incentivise efficient dispatch and </w:t>
      </w:r>
      <w:r w:rsidR="00D16025">
        <w:rPr>
          <w:lang w:eastAsia="en-AU"/>
        </w:rPr>
        <w:t xml:space="preserve">have </w:t>
      </w:r>
      <w:r w:rsidR="002B5AAB">
        <w:rPr>
          <w:lang w:eastAsia="en-AU"/>
        </w:rPr>
        <w:t xml:space="preserve">separate arrangements </w:t>
      </w:r>
      <w:r w:rsidR="00D16025">
        <w:rPr>
          <w:lang w:eastAsia="en-AU"/>
        </w:rPr>
        <w:t xml:space="preserve">to </w:t>
      </w:r>
      <w:r w:rsidR="002B5AAB">
        <w:rPr>
          <w:lang w:eastAsia="en-AU"/>
        </w:rPr>
        <w:t>administer capacity investmen</w:t>
      </w:r>
      <w:r w:rsidR="00DA0296">
        <w:rPr>
          <w:lang w:eastAsia="en-AU"/>
        </w:rPr>
        <w:t>t.</w:t>
      </w:r>
      <w:r w:rsidR="009C3F1D">
        <w:rPr>
          <w:lang w:eastAsia="en-AU"/>
        </w:rPr>
        <w:t xml:space="preserve"> </w:t>
      </w:r>
      <w:r w:rsidR="00F61B92">
        <w:rPr>
          <w:lang w:eastAsia="en-AU"/>
        </w:rPr>
        <w:t>In these markets, a c</w:t>
      </w:r>
      <w:r w:rsidR="00DA0296">
        <w:rPr>
          <w:lang w:eastAsia="en-AU"/>
        </w:rPr>
        <w:t>entral body typically sets a reliability standard</w:t>
      </w:r>
      <w:r w:rsidR="00F61B92">
        <w:rPr>
          <w:lang w:eastAsia="en-AU"/>
        </w:rPr>
        <w:t xml:space="preserve"> and d</w:t>
      </w:r>
      <w:r w:rsidR="00DA0296">
        <w:rPr>
          <w:lang w:eastAsia="en-AU"/>
        </w:rPr>
        <w:t xml:space="preserve">epending on the </w:t>
      </w:r>
      <w:r w:rsidR="00F61B92">
        <w:rPr>
          <w:lang w:eastAsia="en-AU"/>
        </w:rPr>
        <w:t>market</w:t>
      </w:r>
      <w:r w:rsidR="00DA0296">
        <w:rPr>
          <w:lang w:eastAsia="en-AU"/>
        </w:rPr>
        <w:t xml:space="preserve"> design</w:t>
      </w:r>
      <w:r w:rsidR="00F61B92">
        <w:rPr>
          <w:lang w:eastAsia="en-AU"/>
        </w:rPr>
        <w:t>,</w:t>
      </w:r>
      <w:r w:rsidR="00DA0296">
        <w:rPr>
          <w:lang w:eastAsia="en-AU"/>
        </w:rPr>
        <w:t xml:space="preserve"> the central body </w:t>
      </w:r>
      <w:r w:rsidR="00996957">
        <w:rPr>
          <w:lang w:eastAsia="en-AU"/>
        </w:rPr>
        <w:t>may:</w:t>
      </w:r>
    </w:p>
    <w:p w14:paraId="769E33EC" w14:textId="171011E0" w:rsidR="00996957" w:rsidRDefault="00DA0296" w:rsidP="00996957">
      <w:pPr>
        <w:pStyle w:val="ListParagraph"/>
        <w:numPr>
          <w:ilvl w:val="0"/>
          <w:numId w:val="60"/>
        </w:numPr>
        <w:rPr>
          <w:lang w:eastAsia="en-AU"/>
        </w:rPr>
      </w:pPr>
      <w:r>
        <w:rPr>
          <w:lang w:eastAsia="en-AU"/>
        </w:rPr>
        <w:t xml:space="preserve">set a quantity </w:t>
      </w:r>
      <w:r w:rsidR="007A7F8D">
        <w:rPr>
          <w:lang w:eastAsia="en-AU"/>
        </w:rPr>
        <w:t xml:space="preserve">of capacity </w:t>
      </w:r>
      <w:r w:rsidR="00DC062E">
        <w:rPr>
          <w:lang w:eastAsia="en-AU"/>
        </w:rPr>
        <w:t>that it will procure or require retailers to procure</w:t>
      </w:r>
      <w:r w:rsidR="007A7F8D">
        <w:rPr>
          <w:lang w:eastAsia="en-AU"/>
        </w:rPr>
        <w:t>; or</w:t>
      </w:r>
    </w:p>
    <w:p w14:paraId="3C6D5C02" w14:textId="1B79A380" w:rsidR="00D16025" w:rsidRDefault="00996957" w:rsidP="00587184">
      <w:pPr>
        <w:pStyle w:val="ListParagraph"/>
        <w:numPr>
          <w:ilvl w:val="0"/>
          <w:numId w:val="60"/>
        </w:numPr>
        <w:rPr>
          <w:lang w:eastAsia="en-AU"/>
        </w:rPr>
      </w:pPr>
      <w:proofErr w:type="gramStart"/>
      <w:r>
        <w:rPr>
          <w:lang w:eastAsia="en-AU"/>
        </w:rPr>
        <w:t>set</w:t>
      </w:r>
      <w:proofErr w:type="gramEnd"/>
      <w:r>
        <w:rPr>
          <w:lang w:eastAsia="en-AU"/>
        </w:rPr>
        <w:t xml:space="preserve"> a price, a price formula or mechanism such as an auction to determine a price that it will pay for capacity</w:t>
      </w:r>
      <w:r w:rsidR="007A7F8D">
        <w:rPr>
          <w:lang w:eastAsia="en-AU"/>
        </w:rPr>
        <w:t xml:space="preserve"> and let the market response decide the amount of capacity</w:t>
      </w:r>
      <w:r w:rsidR="00DC062E">
        <w:rPr>
          <w:lang w:eastAsia="en-AU"/>
        </w:rPr>
        <w:t xml:space="preserve">. </w:t>
      </w:r>
    </w:p>
    <w:p w14:paraId="122F3E2D" w14:textId="6DFE10BB" w:rsidR="00D16025" w:rsidRDefault="00DA0296" w:rsidP="000629D9">
      <w:pPr>
        <w:rPr>
          <w:lang w:eastAsia="en-AU"/>
        </w:rPr>
      </w:pPr>
      <w:r>
        <w:rPr>
          <w:lang w:eastAsia="en-AU"/>
        </w:rPr>
        <w:t xml:space="preserve">The </w:t>
      </w:r>
      <w:r w:rsidR="00735A05">
        <w:rPr>
          <w:lang w:eastAsia="en-AU"/>
        </w:rPr>
        <w:t xml:space="preserve">purchasing </w:t>
      </w:r>
      <w:r>
        <w:rPr>
          <w:lang w:eastAsia="en-AU"/>
        </w:rPr>
        <w:t xml:space="preserve">mechanisms used internationally vary </w:t>
      </w:r>
      <w:r w:rsidR="00F61B92">
        <w:rPr>
          <w:lang w:eastAsia="en-AU"/>
        </w:rPr>
        <w:t>from</w:t>
      </w:r>
      <w:r>
        <w:rPr>
          <w:lang w:eastAsia="en-AU"/>
        </w:rPr>
        <w:t xml:space="preserve"> direct bilateral contracts (</w:t>
      </w:r>
      <w:r w:rsidR="00F61B92">
        <w:rPr>
          <w:lang w:eastAsia="en-AU"/>
        </w:rPr>
        <w:t>e.g.</w:t>
      </w:r>
      <w:r>
        <w:rPr>
          <w:lang w:eastAsia="en-AU"/>
        </w:rPr>
        <w:t xml:space="preserve"> </w:t>
      </w:r>
      <w:r w:rsidR="00FC3F0E">
        <w:rPr>
          <w:lang w:eastAsia="en-AU"/>
        </w:rPr>
        <w:t>PPAs</w:t>
      </w:r>
      <w:r>
        <w:rPr>
          <w:lang w:eastAsia="en-AU"/>
        </w:rPr>
        <w:t>)</w:t>
      </w:r>
      <w:r w:rsidR="00F61B92">
        <w:rPr>
          <w:lang w:eastAsia="en-AU"/>
        </w:rPr>
        <w:t xml:space="preserve"> to</w:t>
      </w:r>
      <w:r>
        <w:rPr>
          <w:lang w:eastAsia="en-AU"/>
        </w:rPr>
        <w:t xml:space="preserve"> centrally administered auctions </w:t>
      </w:r>
      <w:r w:rsidR="00F61B92">
        <w:rPr>
          <w:lang w:eastAsia="en-AU"/>
        </w:rPr>
        <w:t xml:space="preserve">and </w:t>
      </w:r>
      <w:r>
        <w:rPr>
          <w:lang w:eastAsia="en-AU"/>
        </w:rPr>
        <w:t xml:space="preserve">sophisticated financial instruments such as </w:t>
      </w:r>
      <w:r w:rsidR="00DA76BF">
        <w:rPr>
          <w:lang w:eastAsia="en-AU"/>
        </w:rPr>
        <w:t>reliability</w:t>
      </w:r>
      <w:r>
        <w:rPr>
          <w:lang w:eastAsia="en-AU"/>
        </w:rPr>
        <w:t xml:space="preserve"> </w:t>
      </w:r>
      <w:r w:rsidR="00F61B92">
        <w:rPr>
          <w:lang w:eastAsia="en-AU"/>
        </w:rPr>
        <w:t>o</w:t>
      </w:r>
      <w:r>
        <w:rPr>
          <w:lang w:eastAsia="en-AU"/>
        </w:rPr>
        <w:t>ptions.</w:t>
      </w:r>
      <w:r w:rsidR="009C3F1D">
        <w:rPr>
          <w:lang w:eastAsia="en-AU"/>
        </w:rPr>
        <w:t xml:space="preserve"> </w:t>
      </w:r>
      <w:r>
        <w:rPr>
          <w:lang w:eastAsia="en-AU"/>
        </w:rPr>
        <w:t xml:space="preserve">Reliability </w:t>
      </w:r>
      <w:r w:rsidR="007C06F5">
        <w:rPr>
          <w:lang w:eastAsia="en-AU"/>
        </w:rPr>
        <w:t>o</w:t>
      </w:r>
      <w:r>
        <w:rPr>
          <w:lang w:eastAsia="en-AU"/>
        </w:rPr>
        <w:t xml:space="preserve">ptions and </w:t>
      </w:r>
      <w:r w:rsidR="00EA1E3F">
        <w:rPr>
          <w:lang w:eastAsia="en-AU"/>
        </w:rPr>
        <w:t xml:space="preserve">reverse auctions </w:t>
      </w:r>
      <w:r w:rsidR="00CB79B9">
        <w:rPr>
          <w:lang w:eastAsia="en-AU"/>
        </w:rPr>
        <w:t xml:space="preserve">create financial incentives for capacity to be made available </w:t>
      </w:r>
      <w:r w:rsidR="00F61B92">
        <w:rPr>
          <w:lang w:eastAsia="en-AU"/>
        </w:rPr>
        <w:t xml:space="preserve">and </w:t>
      </w:r>
      <w:r w:rsidR="00CB79B9">
        <w:rPr>
          <w:lang w:eastAsia="en-AU"/>
        </w:rPr>
        <w:t xml:space="preserve">are used in a number </w:t>
      </w:r>
      <w:r w:rsidR="00CB79B9">
        <w:rPr>
          <w:lang w:eastAsia="en-AU"/>
        </w:rPr>
        <w:lastRenderedPageBreak/>
        <w:t>of markets</w:t>
      </w:r>
      <w:r w:rsidR="00F61B92">
        <w:rPr>
          <w:lang w:eastAsia="en-AU"/>
        </w:rPr>
        <w:t>,</w:t>
      </w:r>
      <w:r w:rsidR="00CB79B9">
        <w:rPr>
          <w:lang w:eastAsia="en-AU"/>
        </w:rPr>
        <w:t xml:space="preserve"> but require a reference market price in order to function,</w:t>
      </w:r>
      <w:r w:rsidR="00EA1E3F">
        <w:rPr>
          <w:lang w:eastAsia="en-AU"/>
        </w:rPr>
        <w:t xml:space="preserve"> highlighting the need for close linkage between the design of energy market and capacity procurement in these </w:t>
      </w:r>
      <w:r w:rsidR="00F61B92">
        <w:rPr>
          <w:lang w:eastAsia="en-AU"/>
        </w:rPr>
        <w:t>models</w:t>
      </w:r>
      <w:r w:rsidR="00EA1E3F">
        <w:rPr>
          <w:lang w:eastAsia="en-AU"/>
        </w:rPr>
        <w:t>.</w:t>
      </w:r>
      <w:r w:rsidR="00CB79B9">
        <w:rPr>
          <w:rStyle w:val="FootnoteReference"/>
          <w:lang w:eastAsia="en-AU"/>
        </w:rPr>
        <w:footnoteReference w:id="7"/>
      </w:r>
      <w:r w:rsidR="00F61B92">
        <w:rPr>
          <w:lang w:eastAsia="en-AU"/>
        </w:rPr>
        <w:t xml:space="preserve"> </w:t>
      </w:r>
    </w:p>
    <w:p w14:paraId="50A3534F" w14:textId="1318E579" w:rsidR="003D4BD8" w:rsidRDefault="00D16025" w:rsidP="000629D9">
      <w:pPr>
        <w:rPr>
          <w:lang w:eastAsia="en-AU"/>
        </w:rPr>
      </w:pPr>
      <w:r>
        <w:rPr>
          <w:lang w:eastAsia="en-AU"/>
        </w:rPr>
        <w:t xml:space="preserve">In all designs, there is a benchmark for reliability (the reliability standard), arrangements for dispatch and pricing of energy and </w:t>
      </w:r>
      <w:r w:rsidR="002B0025">
        <w:rPr>
          <w:lang w:eastAsia="en-AU"/>
        </w:rPr>
        <w:t xml:space="preserve">essential system </w:t>
      </w:r>
      <w:r>
        <w:rPr>
          <w:lang w:eastAsia="en-AU"/>
        </w:rPr>
        <w:t>services and arrangements for procurement of capacity, or alternatively, an incentive for market participants to invest</w:t>
      </w:r>
      <w:r w:rsidR="00546E7A">
        <w:rPr>
          <w:lang w:eastAsia="en-AU"/>
        </w:rPr>
        <w:t xml:space="preserve"> in capacity</w:t>
      </w:r>
      <w:r>
        <w:rPr>
          <w:lang w:eastAsia="en-AU"/>
        </w:rPr>
        <w:t>. Where needed a backstop mechanism is also included.</w:t>
      </w:r>
    </w:p>
    <w:p w14:paraId="20F19DDE" w14:textId="261B6504" w:rsidR="003702F2" w:rsidRDefault="00830529" w:rsidP="000629D9">
      <w:pPr>
        <w:rPr>
          <w:lang w:eastAsia="en-AU"/>
        </w:rPr>
      </w:pPr>
      <w:r>
        <w:rPr>
          <w:lang w:eastAsia="en-AU"/>
        </w:rPr>
        <w:t>The Australian National Electricity Market (NEM) is an example of an energy</w:t>
      </w:r>
      <w:r w:rsidR="00CB1E6E">
        <w:rPr>
          <w:lang w:eastAsia="en-AU"/>
        </w:rPr>
        <w:t>-</w:t>
      </w:r>
      <w:r>
        <w:rPr>
          <w:lang w:eastAsia="en-AU"/>
        </w:rPr>
        <w:t>only market and includes a Retailer Reliability Obligation as a backstop</w:t>
      </w:r>
      <w:r w:rsidR="001F3977">
        <w:rPr>
          <w:lang w:eastAsia="en-AU"/>
        </w:rPr>
        <w:t xml:space="preserve"> (</w:t>
      </w:r>
      <w:r>
        <w:rPr>
          <w:lang w:eastAsia="en-AU"/>
        </w:rPr>
        <w:t>note</w:t>
      </w:r>
      <w:r w:rsidR="001F3977">
        <w:rPr>
          <w:lang w:eastAsia="en-AU"/>
        </w:rPr>
        <w:t>:</w:t>
      </w:r>
      <w:r>
        <w:rPr>
          <w:lang w:eastAsia="en-AU"/>
        </w:rPr>
        <w:t xml:space="preserve"> the Energy Security Board is currently reviewing and consult</w:t>
      </w:r>
      <w:r w:rsidR="00CB1E6E">
        <w:rPr>
          <w:lang w:eastAsia="en-AU"/>
        </w:rPr>
        <w:t>ing</w:t>
      </w:r>
      <w:r>
        <w:rPr>
          <w:lang w:eastAsia="en-AU"/>
        </w:rPr>
        <w:t xml:space="preserve"> on possible amendments to the design</w:t>
      </w:r>
      <w:r w:rsidR="001F3977">
        <w:rPr>
          <w:lang w:eastAsia="en-AU"/>
        </w:rPr>
        <w:t xml:space="preserve"> of the Retailer Reliability Obligation)</w:t>
      </w:r>
      <w:r>
        <w:rPr>
          <w:lang w:eastAsia="en-AU"/>
        </w:rPr>
        <w:t>.</w:t>
      </w:r>
      <w:r w:rsidR="00F61B92">
        <w:rPr>
          <w:lang w:eastAsia="en-AU"/>
        </w:rPr>
        <w:t xml:space="preserve"> </w:t>
      </w:r>
      <w:r>
        <w:rPr>
          <w:lang w:eastAsia="en-AU"/>
        </w:rPr>
        <w:t xml:space="preserve">The Western Australian Wholesale Electricity Market (WEM) is a capacity and energy market and includes a capacity price set by the Australian Energy Market Operator (the System and Market Operator of both the eastern/southern seaboard NEM and the WEM) </w:t>
      </w:r>
      <w:r w:rsidR="0065688B">
        <w:rPr>
          <w:lang w:eastAsia="en-AU"/>
        </w:rPr>
        <w:t xml:space="preserve">who </w:t>
      </w:r>
      <w:r w:rsidR="00AE48C8">
        <w:rPr>
          <w:lang w:eastAsia="en-AU"/>
        </w:rPr>
        <w:t>stand</w:t>
      </w:r>
      <w:r w:rsidR="0065688B">
        <w:rPr>
          <w:lang w:eastAsia="en-AU"/>
        </w:rPr>
        <w:t>s</w:t>
      </w:r>
      <w:r w:rsidR="00AE48C8">
        <w:rPr>
          <w:lang w:eastAsia="en-AU"/>
        </w:rPr>
        <w:t xml:space="preserve"> in the market at </w:t>
      </w:r>
      <w:r w:rsidR="00546E7A">
        <w:rPr>
          <w:lang w:eastAsia="en-AU"/>
        </w:rPr>
        <w:t xml:space="preserve">a </w:t>
      </w:r>
      <w:r w:rsidR="00AE48C8">
        <w:rPr>
          <w:lang w:eastAsia="en-AU"/>
        </w:rPr>
        <w:t>published price and includes provision for a backstop auction for capacity if needed.</w:t>
      </w:r>
    </w:p>
    <w:p w14:paraId="1F95A16E" w14:textId="6958087D" w:rsidR="00CA2C76" w:rsidRPr="002C0B0F" w:rsidRDefault="007709F4" w:rsidP="002C0B0F">
      <w:pPr>
        <w:pStyle w:val="Heading2"/>
      </w:pPr>
      <w:bookmarkStart w:id="8" w:name="_Toc59188463"/>
      <w:r w:rsidRPr="002C0B0F">
        <w:t>Capacity procurement approach for the NTEM</w:t>
      </w:r>
      <w:r w:rsidR="002C0293" w:rsidRPr="002C0B0F">
        <w:t xml:space="preserve"> Priority Reform</w:t>
      </w:r>
      <w:bookmarkEnd w:id="8"/>
    </w:p>
    <w:p w14:paraId="5DEBBF4C" w14:textId="04CB0422" w:rsidR="00C61F32" w:rsidRDefault="009E7AF6" w:rsidP="000629D9">
      <w:pPr>
        <w:rPr>
          <w:lang w:eastAsia="en-AU"/>
        </w:rPr>
      </w:pPr>
      <w:r>
        <w:rPr>
          <w:lang w:eastAsia="en-AU"/>
        </w:rPr>
        <w:t>The arrangements for ensuring sufficient capacity in a market should recognise the particular conditions and circumstances of the market in question.</w:t>
      </w:r>
      <w:r w:rsidR="009C3F1D">
        <w:rPr>
          <w:lang w:eastAsia="en-AU"/>
        </w:rPr>
        <w:t xml:space="preserve"> </w:t>
      </w:r>
      <w:r>
        <w:rPr>
          <w:lang w:eastAsia="en-AU"/>
        </w:rPr>
        <w:t xml:space="preserve">The </w:t>
      </w:r>
      <w:r w:rsidR="001F3977">
        <w:rPr>
          <w:lang w:eastAsia="en-AU"/>
        </w:rPr>
        <w:t>DKIS</w:t>
      </w:r>
      <w:r w:rsidR="00C61F32">
        <w:rPr>
          <w:lang w:eastAsia="en-AU"/>
        </w:rPr>
        <w:t xml:space="preserve"> </w:t>
      </w:r>
      <w:r w:rsidR="005628BB">
        <w:rPr>
          <w:lang w:eastAsia="en-AU"/>
        </w:rPr>
        <w:t>customer base</w:t>
      </w:r>
      <w:r w:rsidR="00C61F32">
        <w:rPr>
          <w:lang w:eastAsia="en-AU"/>
        </w:rPr>
        <w:t>,</w:t>
      </w:r>
      <w:r w:rsidR="005628BB">
        <w:rPr>
          <w:lang w:eastAsia="en-AU"/>
        </w:rPr>
        <w:t xml:space="preserve"> which ultimately must fund market costs</w:t>
      </w:r>
      <w:r w:rsidR="00C61F32">
        <w:rPr>
          <w:lang w:eastAsia="en-AU"/>
        </w:rPr>
        <w:t xml:space="preserve">, </w:t>
      </w:r>
      <w:r w:rsidR="005628BB">
        <w:rPr>
          <w:lang w:eastAsia="en-AU"/>
        </w:rPr>
        <w:t>is</w:t>
      </w:r>
      <w:r w:rsidR="00C61F32">
        <w:rPr>
          <w:lang w:eastAsia="en-AU"/>
        </w:rPr>
        <w:t xml:space="preserve"> relatively small</w:t>
      </w:r>
      <w:r w:rsidR="005628BB">
        <w:rPr>
          <w:lang w:eastAsia="en-AU"/>
        </w:rPr>
        <w:t xml:space="preserve"> </w:t>
      </w:r>
      <w:r w:rsidR="00C61F32">
        <w:rPr>
          <w:lang w:eastAsia="en-AU"/>
        </w:rPr>
        <w:t>compared to other competitive markets a</w:t>
      </w:r>
      <w:r>
        <w:rPr>
          <w:lang w:eastAsia="en-AU"/>
        </w:rPr>
        <w:t xml:space="preserve">nd this means the costs to build and operate the market should be kept to a minimum. </w:t>
      </w:r>
    </w:p>
    <w:p w14:paraId="2E8E5D2A" w14:textId="005E2E2D" w:rsidR="008D6863" w:rsidRDefault="00C61F32" w:rsidP="000629D9">
      <w:pPr>
        <w:rPr>
          <w:lang w:eastAsia="en-AU"/>
        </w:rPr>
      </w:pPr>
      <w:r>
        <w:rPr>
          <w:lang w:eastAsia="en-AU"/>
        </w:rPr>
        <w:t>In addition, t</w:t>
      </w:r>
      <w:r w:rsidR="009E7AF6">
        <w:rPr>
          <w:lang w:eastAsia="en-AU"/>
        </w:rPr>
        <w:t>he number of market participants is currently very low and dominated by one player on the supply side and one on the demand side</w:t>
      </w:r>
      <w:r w:rsidR="001F3977">
        <w:rPr>
          <w:lang w:eastAsia="en-AU"/>
        </w:rPr>
        <w:t xml:space="preserve">; however, one </w:t>
      </w:r>
      <w:r w:rsidR="009E7AF6">
        <w:rPr>
          <w:lang w:eastAsia="en-AU"/>
        </w:rPr>
        <w:t xml:space="preserve">aim </w:t>
      </w:r>
      <w:r w:rsidR="005628BB">
        <w:rPr>
          <w:lang w:eastAsia="en-AU"/>
        </w:rPr>
        <w:t>o</w:t>
      </w:r>
      <w:r w:rsidR="009E7AF6">
        <w:rPr>
          <w:lang w:eastAsia="en-AU"/>
        </w:rPr>
        <w:t xml:space="preserve">f </w:t>
      </w:r>
      <w:r w:rsidR="001F3977">
        <w:rPr>
          <w:lang w:eastAsia="en-AU"/>
        </w:rPr>
        <w:t xml:space="preserve">electricity market </w:t>
      </w:r>
      <w:r w:rsidR="009E7AF6">
        <w:rPr>
          <w:lang w:eastAsia="en-AU"/>
        </w:rPr>
        <w:t>reform is to increase the number and diversity of participants on both sides of the market</w:t>
      </w:r>
      <w:r w:rsidR="002C0293">
        <w:rPr>
          <w:lang w:eastAsia="en-AU"/>
        </w:rPr>
        <w:t xml:space="preserve"> to d</w:t>
      </w:r>
      <w:r w:rsidR="00AD7263">
        <w:rPr>
          <w:lang w:eastAsia="en-AU"/>
        </w:rPr>
        <w:t xml:space="preserve">eliver </w:t>
      </w:r>
      <w:r w:rsidR="002C0293">
        <w:rPr>
          <w:lang w:eastAsia="en-AU"/>
        </w:rPr>
        <w:t>efficiency and improved performance to the benefit of consumers and taxpayers</w:t>
      </w:r>
      <w:r w:rsidR="009E7AF6">
        <w:rPr>
          <w:lang w:eastAsia="en-AU"/>
        </w:rPr>
        <w:t>.</w:t>
      </w:r>
      <w:r w:rsidR="009C3F1D">
        <w:rPr>
          <w:lang w:eastAsia="en-AU"/>
        </w:rPr>
        <w:t xml:space="preserve"> </w:t>
      </w:r>
      <w:r w:rsidR="00D16025">
        <w:rPr>
          <w:lang w:eastAsia="en-AU"/>
        </w:rPr>
        <w:t>Further, l</w:t>
      </w:r>
      <w:r w:rsidR="009E7AF6">
        <w:rPr>
          <w:lang w:eastAsia="en-AU"/>
        </w:rPr>
        <w:t>ike many other power systems around the world</w:t>
      </w:r>
      <w:r w:rsidR="001F3977">
        <w:rPr>
          <w:lang w:eastAsia="en-AU"/>
        </w:rPr>
        <w:t>,</w:t>
      </w:r>
      <w:r w:rsidR="009E7AF6">
        <w:rPr>
          <w:lang w:eastAsia="en-AU"/>
        </w:rPr>
        <w:t xml:space="preserve"> the technology mix</w:t>
      </w:r>
      <w:r w:rsidR="00D16025">
        <w:rPr>
          <w:lang w:eastAsia="en-AU"/>
        </w:rPr>
        <w:t xml:space="preserve"> in the DKIS</w:t>
      </w:r>
      <w:r w:rsidR="009E7AF6">
        <w:rPr>
          <w:lang w:eastAsia="en-AU"/>
        </w:rPr>
        <w:t xml:space="preserve"> is expected to change </w:t>
      </w:r>
      <w:r w:rsidR="000E4D2B">
        <w:rPr>
          <w:lang w:eastAsia="en-AU"/>
        </w:rPr>
        <w:t xml:space="preserve">rapidly over the next decade, not only due to the introduction of </w:t>
      </w:r>
      <w:r w:rsidR="00546E7A">
        <w:rPr>
          <w:lang w:eastAsia="en-AU"/>
        </w:rPr>
        <w:t xml:space="preserve">renewable energy </w:t>
      </w:r>
      <w:r w:rsidR="000E4D2B">
        <w:rPr>
          <w:lang w:eastAsia="en-AU"/>
        </w:rPr>
        <w:t>and storage</w:t>
      </w:r>
      <w:r w:rsidR="001F3977">
        <w:rPr>
          <w:lang w:eastAsia="en-AU"/>
        </w:rPr>
        <w:t>,</w:t>
      </w:r>
      <w:r w:rsidR="000E4D2B">
        <w:rPr>
          <w:lang w:eastAsia="en-AU"/>
        </w:rPr>
        <w:t xml:space="preserve"> but also potentially with demand side and diverse supplier</w:t>
      </w:r>
      <w:r w:rsidR="00D87E96">
        <w:rPr>
          <w:lang w:eastAsia="en-AU"/>
        </w:rPr>
        <w:t>s</w:t>
      </w:r>
      <w:r w:rsidR="000E4D2B">
        <w:rPr>
          <w:lang w:eastAsia="en-AU"/>
        </w:rPr>
        <w:t xml:space="preserve"> of essential </w:t>
      </w:r>
      <w:r w:rsidR="0017235C">
        <w:rPr>
          <w:lang w:eastAsia="en-AU"/>
        </w:rPr>
        <w:t xml:space="preserve">system </w:t>
      </w:r>
      <w:r w:rsidR="000E4D2B">
        <w:rPr>
          <w:lang w:eastAsia="en-AU"/>
        </w:rPr>
        <w:t xml:space="preserve">services </w:t>
      </w:r>
      <w:r w:rsidR="001F3977">
        <w:rPr>
          <w:lang w:eastAsia="en-AU"/>
        </w:rPr>
        <w:t>connecting for</w:t>
      </w:r>
      <w:r w:rsidR="00D87E96">
        <w:rPr>
          <w:lang w:eastAsia="en-AU"/>
        </w:rPr>
        <w:t xml:space="preserve"> </w:t>
      </w:r>
      <w:r w:rsidR="000E4D2B">
        <w:rPr>
          <w:lang w:eastAsia="en-AU"/>
        </w:rPr>
        <w:t>manag</w:t>
      </w:r>
      <w:r w:rsidR="00D87E96">
        <w:rPr>
          <w:lang w:eastAsia="en-AU"/>
        </w:rPr>
        <w:t>e</w:t>
      </w:r>
      <w:r w:rsidR="001F3977">
        <w:rPr>
          <w:lang w:eastAsia="en-AU"/>
        </w:rPr>
        <w:t>ment of</w:t>
      </w:r>
      <w:r w:rsidR="000E4D2B">
        <w:rPr>
          <w:lang w:eastAsia="en-AU"/>
        </w:rPr>
        <w:t xml:space="preserve"> power system security</w:t>
      </w:r>
      <w:r w:rsidR="00D87E96">
        <w:rPr>
          <w:lang w:eastAsia="en-AU"/>
        </w:rPr>
        <w:t>.</w:t>
      </w:r>
      <w:r w:rsidR="009C3F1D">
        <w:rPr>
          <w:lang w:eastAsia="en-AU"/>
        </w:rPr>
        <w:t xml:space="preserve"> </w:t>
      </w:r>
    </w:p>
    <w:p w14:paraId="26B98636" w14:textId="77777777" w:rsidR="0017235C" w:rsidRDefault="008D6863" w:rsidP="000629D9">
      <w:pPr>
        <w:rPr>
          <w:lang w:eastAsia="en-AU"/>
        </w:rPr>
      </w:pPr>
      <w:r>
        <w:rPr>
          <w:lang w:eastAsia="en-AU"/>
        </w:rPr>
        <w:t xml:space="preserve">Given these </w:t>
      </w:r>
      <w:r w:rsidR="00D87E96">
        <w:rPr>
          <w:lang w:eastAsia="en-AU"/>
        </w:rPr>
        <w:t>circumstances</w:t>
      </w:r>
      <w:r w:rsidR="001F3977">
        <w:rPr>
          <w:lang w:eastAsia="en-AU"/>
        </w:rPr>
        <w:t>,</w:t>
      </w:r>
      <w:r w:rsidR="00D87E96">
        <w:rPr>
          <w:lang w:eastAsia="en-AU"/>
        </w:rPr>
        <w:t xml:space="preserve"> </w:t>
      </w:r>
      <w:r>
        <w:rPr>
          <w:lang w:eastAsia="en-AU"/>
        </w:rPr>
        <w:t xml:space="preserve">reliability of supply in the </w:t>
      </w:r>
      <w:r w:rsidR="002C0293">
        <w:rPr>
          <w:lang w:eastAsia="en-AU"/>
        </w:rPr>
        <w:t xml:space="preserve">DKIS </w:t>
      </w:r>
      <w:r>
        <w:rPr>
          <w:lang w:eastAsia="en-AU"/>
        </w:rPr>
        <w:t xml:space="preserve">is to be managed with </w:t>
      </w:r>
      <w:r w:rsidR="001F3977">
        <w:rPr>
          <w:lang w:eastAsia="en-AU"/>
        </w:rPr>
        <w:t xml:space="preserve">a </w:t>
      </w:r>
      <w:r>
        <w:rPr>
          <w:lang w:eastAsia="en-AU"/>
        </w:rPr>
        <w:t xml:space="preserve">centrally administered </w:t>
      </w:r>
      <w:r w:rsidR="001F3977">
        <w:rPr>
          <w:lang w:eastAsia="en-AU"/>
        </w:rPr>
        <w:t xml:space="preserve">reliability </w:t>
      </w:r>
      <w:r>
        <w:rPr>
          <w:lang w:eastAsia="en-AU"/>
        </w:rPr>
        <w:t>standard and obligations placed on retailers to be accountable for brin</w:t>
      </w:r>
      <w:r w:rsidR="00C61F32">
        <w:rPr>
          <w:lang w:eastAsia="en-AU"/>
        </w:rPr>
        <w:t>g</w:t>
      </w:r>
      <w:r>
        <w:rPr>
          <w:lang w:eastAsia="en-AU"/>
        </w:rPr>
        <w:t>ing sufficient capacity to market</w:t>
      </w:r>
      <w:r w:rsidR="001F3977">
        <w:rPr>
          <w:lang w:eastAsia="en-AU"/>
        </w:rPr>
        <w:t xml:space="preserve"> in order to meet the standard</w:t>
      </w:r>
      <w:r>
        <w:rPr>
          <w:lang w:eastAsia="en-AU"/>
        </w:rPr>
        <w:t>.</w:t>
      </w:r>
      <w:r w:rsidR="009C3F1D">
        <w:rPr>
          <w:lang w:eastAsia="en-AU"/>
        </w:rPr>
        <w:t xml:space="preserve"> </w:t>
      </w:r>
    </w:p>
    <w:p w14:paraId="788815F0" w14:textId="33348F4C" w:rsidR="00C61F32" w:rsidRDefault="00696DEA" w:rsidP="000629D9">
      <w:pPr>
        <w:rPr>
          <w:lang w:eastAsia="en-AU"/>
        </w:rPr>
      </w:pPr>
      <w:r>
        <w:rPr>
          <w:lang w:eastAsia="en-AU"/>
        </w:rPr>
        <w:t>In this consultation paper, it is proposed that r</w:t>
      </w:r>
      <w:r w:rsidR="008D6863">
        <w:rPr>
          <w:lang w:eastAsia="en-AU"/>
        </w:rPr>
        <w:t xml:space="preserve">etailers may meet their obligations by contracting with generators </w:t>
      </w:r>
      <w:r w:rsidR="0017235C">
        <w:rPr>
          <w:lang w:eastAsia="en-AU"/>
        </w:rPr>
        <w:t xml:space="preserve">(or other capacity </w:t>
      </w:r>
      <w:r w:rsidR="005B5FF5">
        <w:rPr>
          <w:lang w:eastAsia="en-AU"/>
        </w:rPr>
        <w:t>providers</w:t>
      </w:r>
      <w:r w:rsidR="0017235C">
        <w:rPr>
          <w:lang w:eastAsia="en-AU"/>
        </w:rPr>
        <w:t xml:space="preserve">) </w:t>
      </w:r>
      <w:r w:rsidR="008D6863">
        <w:rPr>
          <w:lang w:eastAsia="en-AU"/>
        </w:rPr>
        <w:t>directly – a continuation</w:t>
      </w:r>
      <w:r w:rsidR="001F3977">
        <w:rPr>
          <w:lang w:eastAsia="en-AU"/>
        </w:rPr>
        <w:t xml:space="preserve"> of</w:t>
      </w:r>
      <w:r w:rsidR="008D6863">
        <w:rPr>
          <w:lang w:eastAsia="en-AU"/>
        </w:rPr>
        <w:t xml:space="preserve"> PPA style contracts – or </w:t>
      </w:r>
      <w:r w:rsidR="00CB1E6E">
        <w:rPr>
          <w:lang w:eastAsia="en-AU"/>
        </w:rPr>
        <w:t xml:space="preserve">retailers may </w:t>
      </w:r>
      <w:r w:rsidR="008D6863">
        <w:rPr>
          <w:lang w:eastAsia="en-AU"/>
        </w:rPr>
        <w:t>leav</w:t>
      </w:r>
      <w:r w:rsidR="007C06F5">
        <w:rPr>
          <w:lang w:eastAsia="en-AU"/>
        </w:rPr>
        <w:t>e</w:t>
      </w:r>
      <w:r w:rsidR="008D6863">
        <w:rPr>
          <w:lang w:eastAsia="en-AU"/>
        </w:rPr>
        <w:t xml:space="preserve"> the Reliability Manager to contract for capacity </w:t>
      </w:r>
      <w:r w:rsidR="002A2C13">
        <w:rPr>
          <w:lang w:eastAsia="en-AU"/>
        </w:rPr>
        <w:t xml:space="preserve">with relevant retailers </w:t>
      </w:r>
      <w:r w:rsidR="008D6863">
        <w:rPr>
          <w:lang w:eastAsia="en-AU"/>
        </w:rPr>
        <w:t xml:space="preserve">paying </w:t>
      </w:r>
      <w:r w:rsidR="002A2C13">
        <w:rPr>
          <w:lang w:eastAsia="en-AU"/>
        </w:rPr>
        <w:t>a pro rata</w:t>
      </w:r>
      <w:r w:rsidR="008D6863">
        <w:rPr>
          <w:lang w:eastAsia="en-AU"/>
        </w:rPr>
        <w:t xml:space="preserve"> share of the costs incurred by the Reliability Manager.</w:t>
      </w:r>
      <w:r w:rsidR="009C3F1D">
        <w:rPr>
          <w:lang w:eastAsia="en-AU"/>
        </w:rPr>
        <w:t xml:space="preserve"> </w:t>
      </w:r>
    </w:p>
    <w:p w14:paraId="3EC0AC0E" w14:textId="234A6C9E" w:rsidR="002A2C13" w:rsidRPr="002A2C13" w:rsidRDefault="005628BB" w:rsidP="00587184">
      <w:pPr>
        <w:rPr>
          <w:b/>
          <w:bCs/>
          <w:lang w:eastAsia="en-AU"/>
        </w:rPr>
      </w:pPr>
      <w:r>
        <w:rPr>
          <w:lang w:eastAsia="en-AU"/>
        </w:rPr>
        <w:t xml:space="preserve">The proposed arrangement </w:t>
      </w:r>
      <w:r w:rsidR="00B244E6">
        <w:rPr>
          <w:lang w:eastAsia="en-AU"/>
        </w:rPr>
        <w:t xml:space="preserve">is intended to keep </w:t>
      </w:r>
      <w:r w:rsidR="00546E7A">
        <w:rPr>
          <w:lang w:eastAsia="en-AU"/>
        </w:rPr>
        <w:t xml:space="preserve">barriers to entry for small retailers </w:t>
      </w:r>
      <w:r w:rsidR="00B244E6">
        <w:rPr>
          <w:lang w:eastAsia="en-AU"/>
        </w:rPr>
        <w:t xml:space="preserve">low </w:t>
      </w:r>
      <w:r w:rsidR="00546E7A">
        <w:rPr>
          <w:lang w:eastAsia="en-AU"/>
        </w:rPr>
        <w:t>by allowing the Reliability Manager to contract on their behalf if they cho</w:t>
      </w:r>
      <w:r w:rsidR="009D6F9E">
        <w:rPr>
          <w:lang w:eastAsia="en-AU"/>
        </w:rPr>
        <w:t>o</w:t>
      </w:r>
      <w:r w:rsidR="00546E7A">
        <w:rPr>
          <w:lang w:eastAsia="en-AU"/>
        </w:rPr>
        <w:t xml:space="preserve">se. Additionally, the proposed arrangement </w:t>
      </w:r>
      <w:r>
        <w:rPr>
          <w:lang w:eastAsia="en-AU"/>
        </w:rPr>
        <w:t xml:space="preserve">does not require a </w:t>
      </w:r>
      <w:r w:rsidR="007A7F8D">
        <w:rPr>
          <w:lang w:eastAsia="en-AU"/>
        </w:rPr>
        <w:t xml:space="preserve">separate </w:t>
      </w:r>
      <w:r>
        <w:rPr>
          <w:lang w:eastAsia="en-AU"/>
        </w:rPr>
        <w:t>backstop as it assigns obligations to parties to either acquire capacity in their own right or pay for capacity acquired by the Reliability Manager.</w:t>
      </w:r>
      <w:r w:rsidR="00F61B92">
        <w:rPr>
          <w:lang w:eastAsia="en-AU"/>
        </w:rPr>
        <w:t xml:space="preserve"> </w:t>
      </w:r>
      <w:r>
        <w:rPr>
          <w:lang w:eastAsia="en-AU"/>
        </w:rPr>
        <w:t>This administered approach is considered preferable to alternatives of the Reliability Manager standing in the market at a declared price or requiring market responses to determine the price for capacity and designing and operating backstop arrangements</w:t>
      </w:r>
      <w:r w:rsidR="002A2C13">
        <w:rPr>
          <w:lang w:eastAsia="en-AU"/>
        </w:rPr>
        <w:t xml:space="preserve">. These </w:t>
      </w:r>
      <w:r w:rsidR="00D56F2B">
        <w:rPr>
          <w:lang w:eastAsia="en-AU"/>
        </w:rPr>
        <w:t xml:space="preserve">alternative options </w:t>
      </w:r>
      <w:r w:rsidR="002A2C13">
        <w:rPr>
          <w:lang w:eastAsia="en-AU"/>
        </w:rPr>
        <w:t xml:space="preserve">would be </w:t>
      </w:r>
      <w:r w:rsidR="002F1F24">
        <w:rPr>
          <w:lang w:eastAsia="en-AU"/>
        </w:rPr>
        <w:t xml:space="preserve">more complex and costly to administer and </w:t>
      </w:r>
      <w:r w:rsidR="00B244E6">
        <w:rPr>
          <w:lang w:eastAsia="en-AU"/>
        </w:rPr>
        <w:t xml:space="preserve">are </w:t>
      </w:r>
      <w:r w:rsidR="002F1F24">
        <w:rPr>
          <w:lang w:eastAsia="en-AU"/>
        </w:rPr>
        <w:t>not compatible with the PPA form of many existing arrangements</w:t>
      </w:r>
      <w:r w:rsidR="00D16025">
        <w:rPr>
          <w:lang w:eastAsia="en-AU"/>
        </w:rPr>
        <w:t xml:space="preserve"> in the DKIS</w:t>
      </w:r>
      <w:r w:rsidR="002F1F24">
        <w:rPr>
          <w:lang w:eastAsia="en-AU"/>
        </w:rPr>
        <w:t>.</w:t>
      </w:r>
      <w:r w:rsidR="00C61F32">
        <w:rPr>
          <w:lang w:eastAsia="en-AU"/>
        </w:rPr>
        <w:t xml:space="preserve"> Th</w:t>
      </w:r>
      <w:r w:rsidR="002A2C13">
        <w:rPr>
          <w:lang w:eastAsia="en-AU"/>
        </w:rPr>
        <w:t>e proposed</w:t>
      </w:r>
      <w:r w:rsidR="00C61F32">
        <w:rPr>
          <w:lang w:eastAsia="en-AU"/>
        </w:rPr>
        <w:t xml:space="preserve"> </w:t>
      </w:r>
      <w:r w:rsidR="00D56F2B">
        <w:rPr>
          <w:lang w:eastAsia="en-AU"/>
        </w:rPr>
        <w:t xml:space="preserve">approach </w:t>
      </w:r>
      <w:r w:rsidR="00C61F32">
        <w:rPr>
          <w:lang w:eastAsia="en-AU"/>
        </w:rPr>
        <w:t xml:space="preserve">is designed to strike a balance between minimising market costs to be paid by customers, economic efficiency by facilitating as </w:t>
      </w:r>
      <w:r w:rsidR="00C61F32">
        <w:rPr>
          <w:lang w:eastAsia="en-AU"/>
        </w:rPr>
        <w:lastRenderedPageBreak/>
        <w:t xml:space="preserve">much competition as circumstances allow and </w:t>
      </w:r>
      <w:r w:rsidR="003C72B5">
        <w:rPr>
          <w:lang w:eastAsia="en-AU"/>
        </w:rPr>
        <w:t>relatively close supervision of the level of capacity</w:t>
      </w:r>
      <w:r w:rsidR="002A2C13">
        <w:rPr>
          <w:lang w:eastAsia="en-AU"/>
        </w:rPr>
        <w:t>,</w:t>
      </w:r>
      <w:r w:rsidR="003C72B5">
        <w:rPr>
          <w:lang w:eastAsia="en-AU"/>
        </w:rPr>
        <w:t xml:space="preserve"> which is central to ensuring </w:t>
      </w:r>
      <w:r w:rsidR="002A2C13">
        <w:rPr>
          <w:lang w:eastAsia="en-AU"/>
        </w:rPr>
        <w:t>r</w:t>
      </w:r>
      <w:r w:rsidR="003C72B5">
        <w:rPr>
          <w:lang w:eastAsia="en-AU"/>
        </w:rPr>
        <w:t>eliabilit</w:t>
      </w:r>
      <w:r w:rsidR="002A2C13">
        <w:rPr>
          <w:lang w:eastAsia="en-AU"/>
        </w:rPr>
        <w:t>y of supply</w:t>
      </w:r>
      <w:r w:rsidR="003C72B5">
        <w:rPr>
          <w:lang w:eastAsia="en-AU"/>
        </w:rPr>
        <w:t>.</w:t>
      </w:r>
      <w:r w:rsidR="002A2C13">
        <w:rPr>
          <w:lang w:eastAsia="en-AU"/>
        </w:rPr>
        <w:t xml:space="preserve"> </w:t>
      </w:r>
    </w:p>
    <w:p w14:paraId="6FCDE61D" w14:textId="0B40F371" w:rsidR="002A2C13" w:rsidRDefault="00AD7263" w:rsidP="002A2C13">
      <w:pPr>
        <w:rPr>
          <w:lang w:eastAsia="en-AU"/>
        </w:rPr>
      </w:pPr>
      <w:r>
        <w:rPr>
          <w:lang w:eastAsia="en-AU"/>
        </w:rPr>
        <w:t xml:space="preserve">The proposed reliability arrangements will require that a </w:t>
      </w:r>
      <w:r w:rsidR="00992FBD">
        <w:rPr>
          <w:lang w:eastAsia="en-AU"/>
        </w:rPr>
        <w:t xml:space="preserve">reference price for capacity be </w:t>
      </w:r>
      <w:r>
        <w:rPr>
          <w:lang w:eastAsia="en-AU"/>
        </w:rPr>
        <w:t>calculated</w:t>
      </w:r>
      <w:r w:rsidR="00992FBD">
        <w:rPr>
          <w:lang w:eastAsia="en-AU"/>
        </w:rPr>
        <w:t>.</w:t>
      </w:r>
      <w:r w:rsidR="009C3F1D">
        <w:rPr>
          <w:lang w:eastAsia="en-AU"/>
        </w:rPr>
        <w:t xml:space="preserve"> </w:t>
      </w:r>
      <w:r w:rsidR="00992FBD">
        <w:rPr>
          <w:lang w:eastAsia="en-AU"/>
        </w:rPr>
        <w:t>This reference price will be published as a benchmark to assist bilateral contracting between generators and retailers seeking to meet their obligation to bring capacity to market and also provide a price that will be used to create incentives for the planning and timing of generator maintenance activity.</w:t>
      </w:r>
      <w:r w:rsidR="009C3F1D">
        <w:rPr>
          <w:lang w:eastAsia="en-AU"/>
        </w:rPr>
        <w:t xml:space="preserve"> </w:t>
      </w:r>
      <w:r>
        <w:rPr>
          <w:lang w:eastAsia="en-AU"/>
        </w:rPr>
        <w:t xml:space="preserve">A </w:t>
      </w:r>
      <w:r w:rsidR="00992FBD">
        <w:rPr>
          <w:lang w:eastAsia="en-AU"/>
        </w:rPr>
        <w:t xml:space="preserve">key point </w:t>
      </w:r>
      <w:r w:rsidR="00055B94">
        <w:rPr>
          <w:lang w:eastAsia="en-AU"/>
        </w:rPr>
        <w:t>is</w:t>
      </w:r>
      <w:r w:rsidR="00992FBD">
        <w:rPr>
          <w:lang w:eastAsia="en-AU"/>
        </w:rPr>
        <w:t xml:space="preserve"> that </w:t>
      </w:r>
      <w:r w:rsidR="00992FBD" w:rsidRPr="00145BBF">
        <w:rPr>
          <w:lang w:eastAsia="en-AU"/>
        </w:rPr>
        <w:t xml:space="preserve">the </w:t>
      </w:r>
      <w:r w:rsidR="002A2C13" w:rsidRPr="00145BBF">
        <w:rPr>
          <w:lang w:eastAsia="en-AU"/>
        </w:rPr>
        <w:t xml:space="preserve">design of the </w:t>
      </w:r>
      <w:r w:rsidR="00992FBD" w:rsidRPr="00145BBF">
        <w:rPr>
          <w:lang w:eastAsia="en-AU"/>
        </w:rPr>
        <w:t xml:space="preserve">reliability </w:t>
      </w:r>
      <w:r w:rsidR="002A2C13" w:rsidRPr="00145BBF">
        <w:rPr>
          <w:lang w:eastAsia="en-AU"/>
        </w:rPr>
        <w:t>framework</w:t>
      </w:r>
      <w:r w:rsidR="00992FBD" w:rsidRPr="00145BBF">
        <w:rPr>
          <w:lang w:eastAsia="en-AU"/>
        </w:rPr>
        <w:t xml:space="preserve"> and energy and essential service</w:t>
      </w:r>
      <w:r w:rsidR="002A2C13" w:rsidRPr="00145BBF">
        <w:rPr>
          <w:lang w:eastAsia="en-AU"/>
        </w:rPr>
        <w:t xml:space="preserve"> market</w:t>
      </w:r>
      <w:r w:rsidR="00055B94" w:rsidRPr="00145BBF">
        <w:rPr>
          <w:lang w:eastAsia="en-AU"/>
        </w:rPr>
        <w:t>s</w:t>
      </w:r>
      <w:r w:rsidR="002A2C13" w:rsidRPr="00145BBF">
        <w:rPr>
          <w:lang w:eastAsia="en-AU"/>
        </w:rPr>
        <w:t xml:space="preserve"> </w:t>
      </w:r>
      <w:r w:rsidR="00992FBD" w:rsidRPr="00145BBF">
        <w:rPr>
          <w:lang w:eastAsia="en-AU"/>
        </w:rPr>
        <w:t>need to be compatible</w:t>
      </w:r>
      <w:r w:rsidR="00AE0C3D">
        <w:rPr>
          <w:lang w:eastAsia="en-AU"/>
        </w:rPr>
        <w:t xml:space="preserve"> (refer to section 7)</w:t>
      </w:r>
      <w:r w:rsidR="005B58B2" w:rsidRPr="00145BBF">
        <w:rPr>
          <w:lang w:eastAsia="en-AU"/>
        </w:rPr>
        <w:t>.</w:t>
      </w:r>
      <w:r w:rsidR="002A2C13" w:rsidRPr="00145BBF">
        <w:rPr>
          <w:lang w:eastAsia="en-AU"/>
        </w:rPr>
        <w:t xml:space="preserve"> </w:t>
      </w:r>
      <w:r w:rsidR="00AE0C3D">
        <w:rPr>
          <w:lang w:eastAsia="en-AU"/>
        </w:rPr>
        <w:t xml:space="preserve">Additionally, should government desire, the capacity mechanism described </w:t>
      </w:r>
      <w:r w:rsidR="009D6F9E">
        <w:rPr>
          <w:lang w:eastAsia="en-AU"/>
        </w:rPr>
        <w:t xml:space="preserve">in </w:t>
      </w:r>
      <w:r w:rsidR="00AE0C3D">
        <w:rPr>
          <w:lang w:eastAsia="en-AU"/>
        </w:rPr>
        <w:t>this paper may provide a mechanism to implement any</w:t>
      </w:r>
      <w:r w:rsidR="00DC062E" w:rsidRPr="00145BBF">
        <w:rPr>
          <w:lang w:eastAsia="en-AU"/>
        </w:rPr>
        <w:t xml:space="preserve"> g</w:t>
      </w:r>
      <w:r w:rsidR="002A2C13" w:rsidRPr="00145BBF">
        <w:rPr>
          <w:lang w:eastAsia="en-AU"/>
        </w:rPr>
        <w:t xml:space="preserve">overnment policy relating to </w:t>
      </w:r>
      <w:r w:rsidR="00DC062E" w:rsidRPr="00145BBF">
        <w:rPr>
          <w:lang w:eastAsia="en-AU"/>
        </w:rPr>
        <w:t>a</w:t>
      </w:r>
      <w:r w:rsidR="00546E7A" w:rsidRPr="00145BBF">
        <w:rPr>
          <w:lang w:eastAsia="en-AU"/>
        </w:rPr>
        <w:t xml:space="preserve"> </w:t>
      </w:r>
      <w:r w:rsidR="002A2C13" w:rsidRPr="00145BBF">
        <w:rPr>
          <w:lang w:eastAsia="en-AU"/>
        </w:rPr>
        <w:t>percentage of capacity that is required to be sourced from renewable energy</w:t>
      </w:r>
      <w:r w:rsidR="00DC062E" w:rsidRPr="00145BBF">
        <w:rPr>
          <w:lang w:eastAsia="en-AU"/>
        </w:rPr>
        <w:t>.</w:t>
      </w:r>
      <w:r w:rsidR="00DC062E">
        <w:rPr>
          <w:lang w:eastAsia="en-AU"/>
        </w:rPr>
        <w:t xml:space="preserve"> </w:t>
      </w:r>
      <w:r w:rsidR="00402911">
        <w:rPr>
          <w:lang w:eastAsia="en-AU"/>
        </w:rPr>
        <w:t xml:space="preserve">This is an approach that could be used to manage renewable energy investment to support government’s renewable energy target, while ensuring sufficient reliability is maintained for customers. </w:t>
      </w:r>
    </w:p>
    <w:p w14:paraId="5099612C" w14:textId="6903B8DA" w:rsidR="00E16E12" w:rsidRDefault="00992FBD" w:rsidP="000629D9">
      <w:pPr>
        <w:rPr>
          <w:lang w:eastAsia="en-AU"/>
        </w:rPr>
      </w:pPr>
      <w:r>
        <w:rPr>
          <w:lang w:eastAsia="en-AU"/>
        </w:rPr>
        <w:t xml:space="preserve">The </w:t>
      </w:r>
      <w:r w:rsidR="00402911">
        <w:rPr>
          <w:lang w:eastAsia="en-AU"/>
        </w:rPr>
        <w:t xml:space="preserve">proposed </w:t>
      </w:r>
      <w:r>
        <w:rPr>
          <w:lang w:eastAsia="en-AU"/>
        </w:rPr>
        <w:t>arrangement whereby retailers have the choice of directly contracting with capacity</w:t>
      </w:r>
      <w:r w:rsidR="00D56F2B">
        <w:rPr>
          <w:lang w:eastAsia="en-AU"/>
        </w:rPr>
        <w:t xml:space="preserve"> </w:t>
      </w:r>
      <w:r w:rsidR="005B5FF5">
        <w:rPr>
          <w:lang w:eastAsia="en-AU"/>
        </w:rPr>
        <w:t>providers</w:t>
      </w:r>
      <w:r>
        <w:rPr>
          <w:lang w:eastAsia="en-AU"/>
        </w:rPr>
        <w:t xml:space="preserve"> to meet their obligation or leaving the acquisition of capacity to the Reliability Manger is expected to see most retailers </w:t>
      </w:r>
      <w:r w:rsidR="00CE2F1E">
        <w:rPr>
          <w:lang w:eastAsia="en-AU"/>
        </w:rPr>
        <w:t xml:space="preserve">and capacity providers </w:t>
      </w:r>
      <w:r>
        <w:rPr>
          <w:lang w:eastAsia="en-AU"/>
        </w:rPr>
        <w:t xml:space="preserve">contract directly </w:t>
      </w:r>
      <w:r w:rsidR="00E16E12">
        <w:rPr>
          <w:lang w:eastAsia="en-AU"/>
        </w:rPr>
        <w:t xml:space="preserve">with one another </w:t>
      </w:r>
      <w:r>
        <w:rPr>
          <w:lang w:eastAsia="en-AU"/>
        </w:rPr>
        <w:t xml:space="preserve">in the early stages of </w:t>
      </w:r>
      <w:r w:rsidR="00D56F2B">
        <w:rPr>
          <w:lang w:eastAsia="en-AU"/>
        </w:rPr>
        <w:t>the capacity mechanism’s implementation</w:t>
      </w:r>
      <w:r w:rsidR="00055B94">
        <w:rPr>
          <w:lang w:eastAsia="en-AU"/>
        </w:rPr>
        <w:t>. This reflects</w:t>
      </w:r>
      <w:r>
        <w:rPr>
          <w:lang w:eastAsia="en-AU"/>
        </w:rPr>
        <w:t xml:space="preserve"> a continuation of existing contracting and </w:t>
      </w:r>
      <w:r w:rsidR="00055B94">
        <w:rPr>
          <w:lang w:eastAsia="en-AU"/>
        </w:rPr>
        <w:t xml:space="preserve">a process that </w:t>
      </w:r>
      <w:r>
        <w:rPr>
          <w:lang w:eastAsia="en-AU"/>
        </w:rPr>
        <w:t>is familiar to existing players.</w:t>
      </w:r>
      <w:r w:rsidR="009C3F1D">
        <w:rPr>
          <w:lang w:eastAsia="en-AU"/>
        </w:rPr>
        <w:t xml:space="preserve"> </w:t>
      </w:r>
      <w:r>
        <w:rPr>
          <w:lang w:eastAsia="en-AU"/>
        </w:rPr>
        <w:t xml:space="preserve">However, the </w:t>
      </w:r>
      <w:r w:rsidR="00E16E12">
        <w:rPr>
          <w:lang w:eastAsia="en-AU"/>
        </w:rPr>
        <w:t>capacity m</w:t>
      </w:r>
      <w:r w:rsidR="00A84DC7">
        <w:rPr>
          <w:lang w:eastAsia="en-AU"/>
        </w:rPr>
        <w:t>echanism</w:t>
      </w:r>
      <w:r w:rsidR="00E16E12">
        <w:rPr>
          <w:lang w:eastAsia="en-AU"/>
        </w:rPr>
        <w:t xml:space="preserve"> design</w:t>
      </w:r>
      <w:r>
        <w:rPr>
          <w:lang w:eastAsia="en-AU"/>
        </w:rPr>
        <w:t xml:space="preserve"> opens up the possibility that over time more capacity </w:t>
      </w:r>
      <w:r w:rsidR="00D56F2B">
        <w:rPr>
          <w:lang w:eastAsia="en-AU"/>
        </w:rPr>
        <w:t xml:space="preserve">sources </w:t>
      </w:r>
      <w:r>
        <w:rPr>
          <w:lang w:eastAsia="en-AU"/>
        </w:rPr>
        <w:t>may enter the market by the actions of the Reliability Manager if retailers choose</w:t>
      </w:r>
      <w:r w:rsidR="00E16E12">
        <w:rPr>
          <w:lang w:eastAsia="en-AU"/>
        </w:rPr>
        <w:t xml:space="preserve"> this </w:t>
      </w:r>
      <w:r w:rsidR="00055B94">
        <w:rPr>
          <w:lang w:eastAsia="en-AU"/>
        </w:rPr>
        <w:t>particular</w:t>
      </w:r>
      <w:r w:rsidR="00E16E12">
        <w:rPr>
          <w:lang w:eastAsia="en-AU"/>
        </w:rPr>
        <w:t xml:space="preserve"> path</w:t>
      </w:r>
      <w:r>
        <w:rPr>
          <w:lang w:eastAsia="en-AU"/>
        </w:rPr>
        <w:t>.</w:t>
      </w:r>
      <w:r w:rsidR="005B58B2">
        <w:rPr>
          <w:lang w:eastAsia="en-AU"/>
        </w:rPr>
        <w:t xml:space="preserve"> </w:t>
      </w:r>
    </w:p>
    <w:p w14:paraId="762A67F7" w14:textId="7B24A380" w:rsidR="005F6F68" w:rsidRDefault="009D6F9E" w:rsidP="000629D9">
      <w:pPr>
        <w:rPr>
          <w:lang w:eastAsia="en-AU"/>
        </w:rPr>
      </w:pPr>
      <w:r>
        <w:rPr>
          <w:lang w:eastAsia="en-AU"/>
        </w:rPr>
        <w:t>The</w:t>
      </w:r>
      <w:r w:rsidR="005B58B2">
        <w:rPr>
          <w:lang w:eastAsia="en-AU"/>
        </w:rPr>
        <w:t xml:space="preserve"> Reliability Manager’s </w:t>
      </w:r>
      <w:r w:rsidR="00D56F2B">
        <w:rPr>
          <w:lang w:eastAsia="en-AU"/>
        </w:rPr>
        <w:t xml:space="preserve">function </w:t>
      </w:r>
      <w:r w:rsidR="005B58B2">
        <w:rPr>
          <w:lang w:eastAsia="en-AU"/>
        </w:rPr>
        <w:t xml:space="preserve">is to ensure there is sufficient </w:t>
      </w:r>
      <w:r w:rsidR="005B58B2" w:rsidRPr="003665A6">
        <w:rPr>
          <w:lang w:eastAsia="en-AU"/>
        </w:rPr>
        <w:t>capacity and if the Reliability Manager acts to acquire capacity</w:t>
      </w:r>
      <w:r w:rsidR="00E16E12" w:rsidRPr="003665A6">
        <w:rPr>
          <w:lang w:eastAsia="en-AU"/>
        </w:rPr>
        <w:t xml:space="preserve">, it is for that purpose only. The </w:t>
      </w:r>
      <w:r w:rsidR="00D56F2B" w:rsidRPr="003665A6">
        <w:rPr>
          <w:lang w:eastAsia="en-AU"/>
        </w:rPr>
        <w:t xml:space="preserve">capacity mechanism, and any procurement by the Reliability Manager, will not </w:t>
      </w:r>
      <w:r w:rsidR="005B58B2" w:rsidRPr="003665A6">
        <w:rPr>
          <w:lang w:eastAsia="en-AU"/>
        </w:rPr>
        <w:t xml:space="preserve">acquire energy </w:t>
      </w:r>
      <w:r w:rsidRPr="003665A6">
        <w:rPr>
          <w:lang w:eastAsia="en-AU"/>
        </w:rPr>
        <w:t>or generator acquisition</w:t>
      </w:r>
      <w:r w:rsidR="00D56F2B" w:rsidRPr="003665A6">
        <w:rPr>
          <w:lang w:eastAsia="en-AU"/>
        </w:rPr>
        <w:t>. R</w:t>
      </w:r>
      <w:r w:rsidR="005B58B2" w:rsidRPr="003665A6">
        <w:rPr>
          <w:lang w:eastAsia="en-AU"/>
        </w:rPr>
        <w:t xml:space="preserve">etailers will need to rely on contracts or the energy settlement for </w:t>
      </w:r>
      <w:r w:rsidR="00055B94" w:rsidRPr="003665A6">
        <w:rPr>
          <w:lang w:eastAsia="en-AU"/>
        </w:rPr>
        <w:t>o</w:t>
      </w:r>
      <w:r w:rsidR="00E34FA0" w:rsidRPr="003665A6">
        <w:rPr>
          <w:lang w:eastAsia="en-AU"/>
        </w:rPr>
        <w:t>ut-of-</w:t>
      </w:r>
      <w:r w:rsidR="00055B94" w:rsidRPr="003665A6">
        <w:rPr>
          <w:lang w:eastAsia="en-AU"/>
        </w:rPr>
        <w:t>b</w:t>
      </w:r>
      <w:r w:rsidR="005B58B2" w:rsidRPr="003665A6">
        <w:rPr>
          <w:lang w:eastAsia="en-AU"/>
        </w:rPr>
        <w:t>alance</w:t>
      </w:r>
      <w:r w:rsidR="00E16E12" w:rsidRPr="003665A6">
        <w:rPr>
          <w:lang w:eastAsia="en-AU"/>
        </w:rPr>
        <w:t xml:space="preserve"> </w:t>
      </w:r>
      <w:r w:rsidR="00055B94" w:rsidRPr="003665A6">
        <w:rPr>
          <w:lang w:eastAsia="en-AU"/>
        </w:rPr>
        <w:t>when</w:t>
      </w:r>
      <w:r w:rsidR="00E16E12" w:rsidRPr="003665A6">
        <w:rPr>
          <w:lang w:eastAsia="en-AU"/>
        </w:rPr>
        <w:t xml:space="preserve"> energy</w:t>
      </w:r>
      <w:r w:rsidR="00055B94" w:rsidRPr="003665A6">
        <w:rPr>
          <w:lang w:eastAsia="en-AU"/>
        </w:rPr>
        <w:t xml:space="preserve"> is</w:t>
      </w:r>
      <w:r w:rsidR="00E16E12" w:rsidRPr="003665A6">
        <w:rPr>
          <w:lang w:eastAsia="en-AU"/>
        </w:rPr>
        <w:t xml:space="preserve"> produced. </w:t>
      </w:r>
      <w:r w:rsidR="00CE2F1E" w:rsidRPr="003665A6">
        <w:rPr>
          <w:lang w:eastAsia="en-AU"/>
        </w:rPr>
        <w:t>A</w:t>
      </w:r>
      <w:r w:rsidR="00C61F32" w:rsidRPr="003665A6">
        <w:rPr>
          <w:lang w:eastAsia="en-AU"/>
        </w:rPr>
        <w:t xml:space="preserve">rrangements </w:t>
      </w:r>
      <w:r w:rsidR="00CE2F1E" w:rsidRPr="003665A6">
        <w:rPr>
          <w:lang w:eastAsia="en-AU"/>
        </w:rPr>
        <w:t xml:space="preserve">for energy </w:t>
      </w:r>
      <w:r w:rsidR="00C61F32" w:rsidRPr="003665A6">
        <w:rPr>
          <w:lang w:eastAsia="en-AU"/>
        </w:rPr>
        <w:t xml:space="preserve">are described in </w:t>
      </w:r>
      <w:r w:rsidR="00D56F2B" w:rsidRPr="003665A6">
        <w:rPr>
          <w:lang w:eastAsia="en-AU"/>
        </w:rPr>
        <w:t>government’s policy position paper on dispatch</w:t>
      </w:r>
      <w:r w:rsidR="00C61F32" w:rsidRPr="003665A6">
        <w:rPr>
          <w:lang w:eastAsia="en-AU"/>
        </w:rPr>
        <w:t xml:space="preserve"> and </w:t>
      </w:r>
      <w:r w:rsidR="00D56F2B" w:rsidRPr="003665A6">
        <w:rPr>
          <w:lang w:eastAsia="en-AU"/>
        </w:rPr>
        <w:t>s</w:t>
      </w:r>
      <w:r w:rsidR="00C61F32" w:rsidRPr="003665A6">
        <w:rPr>
          <w:lang w:eastAsia="en-AU"/>
        </w:rPr>
        <w:t>ettlement</w:t>
      </w:r>
      <w:r w:rsidR="00D56F2B" w:rsidRPr="003665A6">
        <w:rPr>
          <w:lang w:eastAsia="en-AU"/>
        </w:rPr>
        <w:t xml:space="preserve"> priority reforms.</w:t>
      </w:r>
      <w:r w:rsidR="00F1795A" w:rsidRPr="003665A6">
        <w:rPr>
          <w:rStyle w:val="FootnoteReference"/>
          <w:lang w:eastAsia="en-AU"/>
        </w:rPr>
        <w:footnoteReference w:id="8"/>
      </w:r>
      <w:r w:rsidR="00D56F2B">
        <w:rPr>
          <w:lang w:eastAsia="en-AU"/>
        </w:rPr>
        <w:t xml:space="preserve"> </w:t>
      </w:r>
    </w:p>
    <w:tbl>
      <w:tblPr>
        <w:tblStyle w:val="TableGrid"/>
        <w:tblW w:w="0" w:type="auto"/>
        <w:tblLook w:val="04A0" w:firstRow="1" w:lastRow="0" w:firstColumn="1" w:lastColumn="0" w:noHBand="0" w:noVBand="1"/>
      </w:tblPr>
      <w:tblGrid>
        <w:gridCol w:w="10308"/>
      </w:tblGrid>
      <w:tr w:rsidR="00592571" w14:paraId="1661A491" w14:textId="77777777" w:rsidTr="00592571">
        <w:tc>
          <w:tcPr>
            <w:tcW w:w="10308" w:type="dxa"/>
          </w:tcPr>
          <w:p w14:paraId="137F56EB" w14:textId="1B2BEAD0" w:rsidR="00592571" w:rsidRPr="00E07AE2" w:rsidRDefault="009A4556" w:rsidP="00592571">
            <w:pPr>
              <w:spacing w:before="200"/>
              <w:rPr>
                <w:b/>
              </w:rPr>
            </w:pPr>
            <w:r w:rsidRPr="009A4556">
              <w:rPr>
                <w:b/>
                <w:caps/>
              </w:rPr>
              <w:t>C</w:t>
            </w:r>
            <w:r>
              <w:rPr>
                <w:b/>
                <w:caps/>
              </w:rPr>
              <w:t>onsultation question</w:t>
            </w:r>
            <w:r w:rsidR="00592571" w:rsidRPr="00E07AE2">
              <w:rPr>
                <w:b/>
              </w:rPr>
              <w:t>:</w:t>
            </w:r>
          </w:p>
          <w:p w14:paraId="6C6C6B6A" w14:textId="33E45C11" w:rsidR="00592571" w:rsidRDefault="00592571" w:rsidP="00592571">
            <w:pPr>
              <w:pStyle w:val="ListParagraph"/>
              <w:numPr>
                <w:ilvl w:val="0"/>
                <w:numId w:val="65"/>
              </w:numPr>
              <w:spacing w:before="200" w:after="200"/>
            </w:pPr>
            <w:r w:rsidRPr="005E11B5">
              <w:t xml:space="preserve">Are </w:t>
            </w:r>
            <w:r w:rsidRPr="00592571">
              <w:rPr>
                <w:lang w:val="en-GB"/>
              </w:rPr>
              <w:t>the proposed arrangements for acquiring capacity an appropriate balance between cost to administer, certainty and flexibility for retailers in choosing how to procure capacity</w:t>
            </w:r>
            <w:r w:rsidRPr="005E11B5">
              <w:t>?</w:t>
            </w:r>
          </w:p>
        </w:tc>
      </w:tr>
    </w:tbl>
    <w:p w14:paraId="36F5C843" w14:textId="2D966857" w:rsidR="00DC09AD" w:rsidRDefault="005A0604" w:rsidP="005A0604">
      <w:pPr>
        <w:pStyle w:val="Heading1"/>
        <w:rPr>
          <w:lang w:eastAsia="en-AU"/>
        </w:rPr>
      </w:pPr>
      <w:bookmarkStart w:id="9" w:name="_Toc59188464"/>
      <w:r>
        <w:rPr>
          <w:lang w:eastAsia="en-AU"/>
        </w:rPr>
        <w:t>De</w:t>
      </w:r>
      <w:r w:rsidR="007901A9">
        <w:rPr>
          <w:lang w:eastAsia="en-AU"/>
        </w:rPr>
        <w:t>tailed de</w:t>
      </w:r>
      <w:r>
        <w:rPr>
          <w:lang w:eastAsia="en-AU"/>
        </w:rPr>
        <w:t>sign elements</w:t>
      </w:r>
      <w:r w:rsidR="00EF4253">
        <w:rPr>
          <w:lang w:eastAsia="en-AU"/>
        </w:rPr>
        <w:t xml:space="preserve"> of the </w:t>
      </w:r>
      <w:r w:rsidR="00366D8A">
        <w:rPr>
          <w:lang w:eastAsia="en-AU"/>
        </w:rPr>
        <w:t>reliability framework</w:t>
      </w:r>
      <w:bookmarkEnd w:id="9"/>
    </w:p>
    <w:p w14:paraId="006BF1E9" w14:textId="1B193F1A" w:rsidR="003C72B5" w:rsidRDefault="003C72B5" w:rsidP="009D6F9E">
      <w:pPr>
        <w:spacing w:after="120"/>
        <w:rPr>
          <w:lang w:eastAsia="en-AU"/>
        </w:rPr>
      </w:pPr>
      <w:r>
        <w:rPr>
          <w:lang w:eastAsia="en-AU"/>
        </w:rPr>
        <w:t xml:space="preserve">This section provides a more detailed description of the proposed arrangements for managing reliability of supply </w:t>
      </w:r>
      <w:r w:rsidR="00696DEA">
        <w:rPr>
          <w:lang w:eastAsia="en-AU"/>
        </w:rPr>
        <w:t>for</w:t>
      </w:r>
      <w:r w:rsidR="00546E7A">
        <w:rPr>
          <w:lang w:eastAsia="en-AU"/>
        </w:rPr>
        <w:t xml:space="preserve"> </w:t>
      </w:r>
      <w:r>
        <w:rPr>
          <w:lang w:eastAsia="en-AU"/>
        </w:rPr>
        <w:t xml:space="preserve">the </w:t>
      </w:r>
      <w:r w:rsidR="00696DEA">
        <w:rPr>
          <w:lang w:eastAsia="en-AU"/>
        </w:rPr>
        <w:t>DKIS</w:t>
      </w:r>
      <w:r>
        <w:rPr>
          <w:lang w:eastAsia="en-AU"/>
        </w:rPr>
        <w:t>.</w:t>
      </w:r>
      <w:r w:rsidR="009C3F1D">
        <w:rPr>
          <w:lang w:eastAsia="en-AU"/>
        </w:rPr>
        <w:t xml:space="preserve"> </w:t>
      </w:r>
      <w:r>
        <w:rPr>
          <w:lang w:eastAsia="en-AU"/>
        </w:rPr>
        <w:t>It describes arrangements for:</w:t>
      </w:r>
    </w:p>
    <w:p w14:paraId="152A7F88" w14:textId="03F5A1D7" w:rsidR="003C72B5" w:rsidRDefault="00E16E12" w:rsidP="00592571">
      <w:pPr>
        <w:pStyle w:val="Tablebulletlistlevel1"/>
        <w:spacing w:after="120"/>
        <w:rPr>
          <w:lang w:eastAsia="en-AU"/>
        </w:rPr>
      </w:pPr>
      <w:r>
        <w:rPr>
          <w:lang w:eastAsia="en-AU"/>
        </w:rPr>
        <w:t>f</w:t>
      </w:r>
      <w:r w:rsidR="003C72B5">
        <w:rPr>
          <w:lang w:eastAsia="en-AU"/>
        </w:rPr>
        <w:t>orecasting of capacity requirements</w:t>
      </w:r>
    </w:p>
    <w:p w14:paraId="5357767A" w14:textId="7173D66A" w:rsidR="003C72B5" w:rsidRDefault="00E16E12" w:rsidP="00592571">
      <w:pPr>
        <w:pStyle w:val="Tablebulletlistlevel1"/>
        <w:spacing w:after="120"/>
        <w:rPr>
          <w:lang w:eastAsia="en-AU"/>
        </w:rPr>
      </w:pPr>
      <w:r>
        <w:rPr>
          <w:lang w:eastAsia="en-AU"/>
        </w:rPr>
        <w:t>i</w:t>
      </w:r>
      <w:r w:rsidR="003C72B5">
        <w:rPr>
          <w:lang w:eastAsia="en-AU"/>
        </w:rPr>
        <w:t>nclusion of renewable energy requirements</w:t>
      </w:r>
    </w:p>
    <w:p w14:paraId="1CB7A531" w14:textId="2060AE0B" w:rsidR="003C72B5" w:rsidRDefault="003C72B5" w:rsidP="00592571">
      <w:pPr>
        <w:pStyle w:val="Tablebulletlistlevel1"/>
        <w:spacing w:after="120"/>
        <w:rPr>
          <w:lang w:eastAsia="en-AU"/>
        </w:rPr>
      </w:pPr>
      <w:r>
        <w:rPr>
          <w:lang w:eastAsia="en-AU"/>
        </w:rPr>
        <w:t xml:space="preserve">how much capacity each </w:t>
      </w:r>
      <w:r w:rsidR="00CE2F1E">
        <w:rPr>
          <w:lang w:eastAsia="en-AU"/>
        </w:rPr>
        <w:t>capacity provider</w:t>
      </w:r>
      <w:r>
        <w:rPr>
          <w:lang w:eastAsia="en-AU"/>
        </w:rPr>
        <w:t xml:space="preserve"> can offer to a retailer seeking to acquit its obligation for capacity (</w:t>
      </w:r>
      <w:r w:rsidR="00E16E12">
        <w:rPr>
          <w:lang w:eastAsia="en-AU"/>
        </w:rPr>
        <w:t>a</w:t>
      </w:r>
      <w:r>
        <w:rPr>
          <w:lang w:eastAsia="en-AU"/>
        </w:rPr>
        <w:t xml:space="preserve">ccredited capacity) </w:t>
      </w:r>
    </w:p>
    <w:p w14:paraId="0D0FC557" w14:textId="600A91F4" w:rsidR="003C72B5" w:rsidRDefault="003C72B5" w:rsidP="00592571">
      <w:pPr>
        <w:pStyle w:val="Tablebulletlistlevel1"/>
        <w:spacing w:after="120"/>
        <w:rPr>
          <w:lang w:eastAsia="en-AU"/>
        </w:rPr>
      </w:pPr>
      <w:r>
        <w:rPr>
          <w:lang w:eastAsia="en-AU"/>
        </w:rPr>
        <w:t>the detailed timeframe for the procurement process</w:t>
      </w:r>
    </w:p>
    <w:p w14:paraId="1766185D" w14:textId="3801A20E" w:rsidR="003C72B5" w:rsidRDefault="003C72B5" w:rsidP="00592571">
      <w:pPr>
        <w:pStyle w:val="Tablebulletlistlevel1"/>
        <w:spacing w:after="120"/>
        <w:rPr>
          <w:lang w:eastAsia="en-AU"/>
        </w:rPr>
      </w:pPr>
      <w:r>
        <w:rPr>
          <w:lang w:eastAsia="en-AU"/>
        </w:rPr>
        <w:t xml:space="preserve">incentives for </w:t>
      </w:r>
      <w:r w:rsidR="00CE2F1E">
        <w:rPr>
          <w:lang w:eastAsia="en-AU"/>
        </w:rPr>
        <w:t xml:space="preserve">capacity providers </w:t>
      </w:r>
      <w:r>
        <w:rPr>
          <w:lang w:eastAsia="en-AU"/>
        </w:rPr>
        <w:t>to manage the amount and timing of capacity outages for maintenance</w:t>
      </w:r>
      <w:r w:rsidR="00B57780">
        <w:rPr>
          <w:lang w:eastAsia="en-AU"/>
        </w:rPr>
        <w:t>; and</w:t>
      </w:r>
    </w:p>
    <w:p w14:paraId="6323939F" w14:textId="5BC7AB95" w:rsidR="003C72B5" w:rsidRDefault="003C72B5" w:rsidP="00592571">
      <w:pPr>
        <w:pStyle w:val="Tablebulletlistlevel1"/>
        <w:spacing w:after="200"/>
        <w:rPr>
          <w:lang w:eastAsia="en-AU"/>
        </w:rPr>
      </w:pPr>
      <w:proofErr w:type="gramStart"/>
      <w:r>
        <w:rPr>
          <w:lang w:eastAsia="en-AU"/>
        </w:rPr>
        <w:t>after</w:t>
      </w:r>
      <w:proofErr w:type="gramEnd"/>
      <w:r>
        <w:rPr>
          <w:lang w:eastAsia="en-AU"/>
        </w:rPr>
        <w:t xml:space="preserve"> the event true up of retailer obligations for capacity</w:t>
      </w:r>
      <w:r w:rsidR="00EE3648">
        <w:rPr>
          <w:lang w:eastAsia="en-AU"/>
        </w:rPr>
        <w:t>.</w:t>
      </w:r>
    </w:p>
    <w:p w14:paraId="08A4D528" w14:textId="77777777" w:rsidR="00CE2F1E" w:rsidRDefault="007901A9" w:rsidP="00B92929">
      <w:pPr>
        <w:rPr>
          <w:lang w:eastAsia="en-AU"/>
        </w:rPr>
      </w:pPr>
      <w:r>
        <w:rPr>
          <w:lang w:eastAsia="en-AU"/>
        </w:rPr>
        <w:lastRenderedPageBreak/>
        <w:t>As noted earlier</w:t>
      </w:r>
      <w:r w:rsidR="00B92929">
        <w:rPr>
          <w:lang w:eastAsia="en-AU"/>
        </w:rPr>
        <w:t xml:space="preserve">, the form and level of the reliability standard </w:t>
      </w:r>
      <w:r w:rsidR="001C34A2">
        <w:rPr>
          <w:lang w:eastAsia="en-AU"/>
        </w:rPr>
        <w:t>are not the subject of this paper</w:t>
      </w:r>
      <w:r w:rsidR="00CE2F1E">
        <w:rPr>
          <w:lang w:eastAsia="en-AU"/>
        </w:rPr>
        <w:t xml:space="preserve"> and are to be determined by government separately</w:t>
      </w:r>
      <w:r w:rsidR="001C34A2">
        <w:rPr>
          <w:lang w:eastAsia="en-AU"/>
        </w:rPr>
        <w:t>. Therefore, for the purpose of this paper on the draft design of the capacity mechanism, the reliability standard can be assumed as</w:t>
      </w:r>
      <w:r w:rsidR="00B92929">
        <w:rPr>
          <w:lang w:eastAsia="en-AU"/>
        </w:rPr>
        <w:t xml:space="preserve"> set. </w:t>
      </w:r>
    </w:p>
    <w:p w14:paraId="03FF9D6D" w14:textId="790D37FC" w:rsidR="00B92929" w:rsidRDefault="00467277" w:rsidP="00B92929">
      <w:pPr>
        <w:rPr>
          <w:lang w:eastAsia="en-AU"/>
        </w:rPr>
      </w:pPr>
      <w:r>
        <w:rPr>
          <w:lang w:eastAsia="en-AU"/>
        </w:rPr>
        <w:t xml:space="preserve">The Reliability Manager will manage an accreditation process </w:t>
      </w:r>
      <w:r w:rsidR="008722C4">
        <w:rPr>
          <w:lang w:eastAsia="en-AU"/>
        </w:rPr>
        <w:t xml:space="preserve">for provision of </w:t>
      </w:r>
      <w:r>
        <w:rPr>
          <w:lang w:eastAsia="en-AU"/>
        </w:rPr>
        <w:t xml:space="preserve">capacity to the DKIS. </w:t>
      </w:r>
      <w:r w:rsidR="00501EFE">
        <w:rPr>
          <w:lang w:eastAsia="en-AU"/>
        </w:rPr>
        <w:t>The approach to accreditation</w:t>
      </w:r>
      <w:r w:rsidR="00D94B75">
        <w:rPr>
          <w:lang w:eastAsia="en-AU"/>
        </w:rPr>
        <w:t xml:space="preserve"> will be technology neutral, although for convenience plant with intermittent technology and fully controllable technology will be assessed </w:t>
      </w:r>
      <w:r w:rsidR="00501EFE">
        <w:rPr>
          <w:lang w:eastAsia="en-AU"/>
        </w:rPr>
        <w:t xml:space="preserve">through slightly different processes, with the </w:t>
      </w:r>
      <w:r w:rsidR="00D94B75">
        <w:rPr>
          <w:lang w:eastAsia="en-AU"/>
        </w:rPr>
        <w:t xml:space="preserve">process for assessing intermittent technology </w:t>
      </w:r>
      <w:r w:rsidR="00501EFE">
        <w:rPr>
          <w:lang w:eastAsia="en-AU"/>
        </w:rPr>
        <w:t xml:space="preserve">including </w:t>
      </w:r>
      <w:r w:rsidR="00222900">
        <w:rPr>
          <w:lang w:eastAsia="en-AU"/>
        </w:rPr>
        <w:t>additional steps. The accreditation assessment process covers</w:t>
      </w:r>
      <w:r w:rsidR="00D94B75">
        <w:rPr>
          <w:lang w:eastAsia="en-AU"/>
        </w:rPr>
        <w:t xml:space="preserve"> </w:t>
      </w:r>
      <w:r>
        <w:rPr>
          <w:lang w:eastAsia="en-AU"/>
        </w:rPr>
        <w:t xml:space="preserve">thermal and renewable generation units, storage facilities (batteries) or demand side response resources. </w:t>
      </w:r>
      <w:r w:rsidR="00B92929">
        <w:rPr>
          <w:lang w:eastAsia="en-AU"/>
        </w:rPr>
        <w:t>The determination of accredited capacity will account for failure rate, fuel certainty (including solar/wind variability) and any network constraints that affect the effective capacity of a type of technology or generation units in a particular location.</w:t>
      </w:r>
      <w:r>
        <w:rPr>
          <w:lang w:eastAsia="en-AU"/>
        </w:rPr>
        <w:t xml:space="preserve"> The </w:t>
      </w:r>
      <w:r w:rsidR="00696DEA">
        <w:rPr>
          <w:lang w:eastAsia="en-AU"/>
        </w:rPr>
        <w:t xml:space="preserve">proposed </w:t>
      </w:r>
      <w:r>
        <w:rPr>
          <w:lang w:eastAsia="en-AU"/>
        </w:rPr>
        <w:t xml:space="preserve">process of determining accredited capacity is described in further detail in </w:t>
      </w:r>
      <w:r w:rsidR="003F0E1F">
        <w:rPr>
          <w:lang w:eastAsia="en-AU"/>
        </w:rPr>
        <w:t>s</w:t>
      </w:r>
      <w:r>
        <w:rPr>
          <w:lang w:eastAsia="en-AU"/>
        </w:rPr>
        <w:t>ection 5.</w:t>
      </w:r>
    </w:p>
    <w:p w14:paraId="09CD0089" w14:textId="17CAC989" w:rsidR="00CE2F1E" w:rsidRDefault="00B92929" w:rsidP="00B92929">
      <w:pPr>
        <w:rPr>
          <w:lang w:eastAsia="en-AU"/>
        </w:rPr>
      </w:pPr>
      <w:r>
        <w:rPr>
          <w:lang w:eastAsia="en-AU"/>
        </w:rPr>
        <w:t xml:space="preserve">The Reliability Manager will calculate how much accredited capacity will be needed to satisfy the reliability standard for a given year and announce each retailer’s capacity obligations (in megawatts </w:t>
      </w:r>
      <w:r w:rsidR="00CE0F6E">
        <w:rPr>
          <w:lang w:eastAsia="en-AU"/>
        </w:rPr>
        <w:t>[</w:t>
      </w:r>
      <w:r>
        <w:rPr>
          <w:lang w:eastAsia="en-AU"/>
        </w:rPr>
        <w:t>MW</w:t>
      </w:r>
      <w:r w:rsidR="00CE0F6E">
        <w:rPr>
          <w:lang w:eastAsia="en-AU"/>
        </w:rPr>
        <w:t>]</w:t>
      </w:r>
      <w:r>
        <w:rPr>
          <w:lang w:eastAsia="en-AU"/>
        </w:rPr>
        <w:t xml:space="preserve">). </w:t>
      </w:r>
      <w:r w:rsidR="00CE2F1E">
        <w:rPr>
          <w:lang w:eastAsia="en-AU"/>
        </w:rPr>
        <w:t>If there is a policy mandate for a certain level of investment in a specific technology to support government’s renewable energy target, the Reliability Manager will define a requirement for different classes of capacity</w:t>
      </w:r>
      <w:r w:rsidR="003F0E1F">
        <w:rPr>
          <w:lang w:eastAsia="en-AU"/>
        </w:rPr>
        <w:t>. This is discussed further in section 4.1.</w:t>
      </w:r>
    </w:p>
    <w:p w14:paraId="40B2BE67" w14:textId="690DD34A" w:rsidR="00B92929" w:rsidRDefault="00B92929" w:rsidP="00B92929">
      <w:pPr>
        <w:rPr>
          <w:lang w:eastAsia="en-AU"/>
        </w:rPr>
      </w:pPr>
      <w:r>
        <w:rPr>
          <w:lang w:eastAsia="en-AU"/>
        </w:rPr>
        <w:t xml:space="preserve">Each retailer’s share of the required accredited capacity </w:t>
      </w:r>
      <w:r w:rsidR="00CE2F1E">
        <w:rPr>
          <w:lang w:eastAsia="en-AU"/>
        </w:rPr>
        <w:t xml:space="preserve">that they will be accountable for </w:t>
      </w:r>
      <w:r w:rsidR="00AD7263">
        <w:rPr>
          <w:lang w:eastAsia="en-AU"/>
        </w:rPr>
        <w:t xml:space="preserve">will </w:t>
      </w:r>
      <w:r>
        <w:rPr>
          <w:lang w:eastAsia="en-AU"/>
        </w:rPr>
        <w:t xml:space="preserve">be </w:t>
      </w:r>
      <w:r w:rsidR="009041E8">
        <w:rPr>
          <w:lang w:eastAsia="en-AU"/>
        </w:rPr>
        <w:t xml:space="preserve">related </w:t>
      </w:r>
      <w:r>
        <w:rPr>
          <w:lang w:eastAsia="en-AU"/>
        </w:rPr>
        <w:t>to their expected customer demand</w:t>
      </w:r>
      <w:r w:rsidR="003F0E1F">
        <w:rPr>
          <w:lang w:eastAsia="en-AU"/>
        </w:rPr>
        <w:t>, which is detailed in section 4.2</w:t>
      </w:r>
      <w:r>
        <w:rPr>
          <w:lang w:eastAsia="en-AU"/>
        </w:rPr>
        <w:t xml:space="preserve">. An appropriate timeline will be established to ensure that contracting for capacity occurs well ahead of time in order to reduce the risks of a potential shortfall. In other markets, this typically occurs on a rolling </w:t>
      </w:r>
      <w:r w:rsidR="00CE0F6E">
        <w:rPr>
          <w:lang w:eastAsia="en-AU"/>
        </w:rPr>
        <w:t>three or four</w:t>
      </w:r>
      <w:r>
        <w:rPr>
          <w:lang w:eastAsia="en-AU"/>
        </w:rPr>
        <w:t xml:space="preserve"> year cycle. </w:t>
      </w:r>
      <w:r w:rsidR="003F0E1F">
        <w:rPr>
          <w:lang w:eastAsia="en-AU"/>
        </w:rPr>
        <w:t xml:space="preserve">Stakeholder feedback is sought on the proposed timeline outlined in Figure 1. </w:t>
      </w:r>
      <w:r w:rsidR="00CE0F6E">
        <w:rPr>
          <w:lang w:eastAsia="en-AU"/>
        </w:rPr>
        <w:t>T</w:t>
      </w:r>
      <w:r>
        <w:rPr>
          <w:lang w:eastAsia="en-AU"/>
        </w:rPr>
        <w:t xml:space="preserve">he Reliability Manager will monitor whether enough accredited capacity is in the market and, if not, seek to enter into contracts in its own right and pass the cost through to those </w:t>
      </w:r>
      <w:r w:rsidR="006F19EF">
        <w:rPr>
          <w:lang w:eastAsia="en-AU"/>
        </w:rPr>
        <w:t xml:space="preserve">retailers </w:t>
      </w:r>
      <w:r>
        <w:rPr>
          <w:lang w:eastAsia="en-AU"/>
        </w:rPr>
        <w:t>who fall short in procuring their capacity obligation</w:t>
      </w:r>
      <w:r w:rsidR="005B5FF5">
        <w:rPr>
          <w:lang w:eastAsia="en-AU"/>
        </w:rPr>
        <w:t>s</w:t>
      </w:r>
      <w:r>
        <w:rPr>
          <w:lang w:eastAsia="en-AU"/>
        </w:rPr>
        <w:t xml:space="preserve">. </w:t>
      </w:r>
    </w:p>
    <w:p w14:paraId="243F551B" w14:textId="35375ED9" w:rsidR="00B92929" w:rsidRDefault="00B92929" w:rsidP="008033D6">
      <w:pPr>
        <w:rPr>
          <w:lang w:eastAsia="en-AU"/>
        </w:rPr>
      </w:pPr>
      <w:r>
        <w:rPr>
          <w:lang w:eastAsia="en-AU"/>
        </w:rPr>
        <w:t xml:space="preserve">The Reliability Manager will </w:t>
      </w:r>
      <w:r w:rsidR="00222900">
        <w:rPr>
          <w:lang w:eastAsia="en-AU"/>
        </w:rPr>
        <w:t xml:space="preserve">also </w:t>
      </w:r>
      <w:r>
        <w:rPr>
          <w:lang w:eastAsia="en-AU"/>
        </w:rPr>
        <w:t xml:space="preserve">calculate a </w:t>
      </w:r>
      <w:r w:rsidR="00222900">
        <w:rPr>
          <w:lang w:eastAsia="en-AU"/>
        </w:rPr>
        <w:t xml:space="preserve">reference </w:t>
      </w:r>
      <w:r>
        <w:rPr>
          <w:lang w:eastAsia="en-AU"/>
        </w:rPr>
        <w:t>capacity price</w:t>
      </w:r>
      <w:r w:rsidR="003F0E1F">
        <w:rPr>
          <w:lang w:eastAsia="en-AU"/>
        </w:rPr>
        <w:t xml:space="preserve"> (refer to section 4.4)</w:t>
      </w:r>
      <w:r>
        <w:rPr>
          <w:lang w:eastAsia="en-AU"/>
        </w:rPr>
        <w:t xml:space="preserve">. </w:t>
      </w:r>
      <w:r w:rsidR="00AD7263">
        <w:rPr>
          <w:lang w:eastAsia="en-AU"/>
        </w:rPr>
        <w:t>Th</w:t>
      </w:r>
      <w:r w:rsidR="00222900">
        <w:rPr>
          <w:lang w:eastAsia="en-AU"/>
        </w:rPr>
        <w:t xml:space="preserve">is </w:t>
      </w:r>
      <w:r>
        <w:rPr>
          <w:lang w:eastAsia="en-AU"/>
        </w:rPr>
        <w:t>price</w:t>
      </w:r>
      <w:r w:rsidR="00AD7263">
        <w:rPr>
          <w:lang w:eastAsia="en-AU"/>
        </w:rPr>
        <w:t xml:space="preserve"> will be </w:t>
      </w:r>
      <w:r>
        <w:rPr>
          <w:lang w:eastAsia="en-AU"/>
        </w:rPr>
        <w:t>a</w:t>
      </w:r>
      <w:r w:rsidR="00222900">
        <w:rPr>
          <w:lang w:eastAsia="en-AU"/>
        </w:rPr>
        <w:t xml:space="preserve"> </w:t>
      </w:r>
      <w:r>
        <w:rPr>
          <w:lang w:eastAsia="en-AU"/>
        </w:rPr>
        <w:t>published price</w:t>
      </w:r>
      <w:r w:rsidR="00222900">
        <w:rPr>
          <w:lang w:eastAsia="en-AU"/>
        </w:rPr>
        <w:t xml:space="preserve"> </w:t>
      </w:r>
      <w:r>
        <w:rPr>
          <w:lang w:eastAsia="en-AU"/>
        </w:rPr>
        <w:t>that the Reliability Manager expects to pay if it is required to contract for capacity</w:t>
      </w:r>
      <w:r w:rsidR="00222900">
        <w:rPr>
          <w:lang w:eastAsia="en-AU"/>
        </w:rPr>
        <w:t xml:space="preserve"> (that is, if a retailer fails to do so or chooses not to)</w:t>
      </w:r>
      <w:r>
        <w:rPr>
          <w:lang w:eastAsia="en-AU"/>
        </w:rPr>
        <w:t xml:space="preserve">. </w:t>
      </w:r>
      <w:r w:rsidR="00222900">
        <w:rPr>
          <w:lang w:eastAsia="en-AU"/>
        </w:rPr>
        <w:t xml:space="preserve">Publication of the reference capacity price will </w:t>
      </w:r>
      <w:r>
        <w:rPr>
          <w:lang w:eastAsia="en-AU"/>
        </w:rPr>
        <w:t xml:space="preserve">also act as a benchmark price for retailers and generators </w:t>
      </w:r>
      <w:r w:rsidR="005B5FF5">
        <w:rPr>
          <w:lang w:eastAsia="en-AU"/>
        </w:rPr>
        <w:t xml:space="preserve">(or other capacity providers) </w:t>
      </w:r>
      <w:r w:rsidR="00C82AB9">
        <w:rPr>
          <w:lang w:eastAsia="en-AU"/>
        </w:rPr>
        <w:t xml:space="preserve">to refer to </w:t>
      </w:r>
      <w:r>
        <w:rPr>
          <w:lang w:eastAsia="en-AU"/>
        </w:rPr>
        <w:t xml:space="preserve">in negotiations of bilateral contracts. The capacity price will </w:t>
      </w:r>
      <w:r w:rsidR="00C82AB9">
        <w:rPr>
          <w:lang w:eastAsia="en-AU"/>
        </w:rPr>
        <w:t xml:space="preserve">also </w:t>
      </w:r>
      <w:r>
        <w:rPr>
          <w:lang w:eastAsia="en-AU"/>
        </w:rPr>
        <w:t>form the basis for incentives or penalties related to the timing of reductions in capacity during a year, for example, to incentivise maintenance activity at times of high reserve capacity, or to impose a charge where there has been a failure to provide capacity, as accredited, without approval such as an unapproved maintenance outage. These matters and the use of the capacity price in</w:t>
      </w:r>
      <w:r w:rsidR="00E34FA0">
        <w:rPr>
          <w:lang w:eastAsia="en-AU"/>
        </w:rPr>
        <w:t xml:space="preserve"> calculations for ‘capacity out-of-</w:t>
      </w:r>
      <w:r>
        <w:rPr>
          <w:lang w:eastAsia="en-AU"/>
        </w:rPr>
        <w:t xml:space="preserve">balance’ are detailed further </w:t>
      </w:r>
      <w:r w:rsidR="00645719">
        <w:rPr>
          <w:lang w:eastAsia="en-AU"/>
        </w:rPr>
        <w:t>in s</w:t>
      </w:r>
      <w:r w:rsidRPr="004321A5">
        <w:rPr>
          <w:lang w:eastAsia="en-AU"/>
        </w:rPr>
        <w:t>ection</w:t>
      </w:r>
      <w:r w:rsidR="00467277">
        <w:rPr>
          <w:lang w:eastAsia="en-AU"/>
        </w:rPr>
        <w:t> </w:t>
      </w:r>
      <w:r w:rsidRPr="004321A5">
        <w:rPr>
          <w:lang w:eastAsia="en-AU"/>
        </w:rPr>
        <w:t>6.</w:t>
      </w:r>
      <w:r w:rsidRPr="00285623">
        <w:rPr>
          <w:lang w:eastAsia="en-AU"/>
        </w:rPr>
        <w:t xml:space="preserve"> </w:t>
      </w:r>
    </w:p>
    <w:p w14:paraId="375CC53C" w14:textId="7638FE4C" w:rsidR="00F5219C" w:rsidRDefault="00D156DF" w:rsidP="00D156DF">
      <w:pPr>
        <w:rPr>
          <w:lang w:eastAsia="en-AU"/>
        </w:rPr>
      </w:pPr>
      <w:r>
        <w:rPr>
          <w:lang w:eastAsia="en-AU"/>
        </w:rPr>
        <w:t>U</w:t>
      </w:r>
      <w:r w:rsidR="007C06F5">
        <w:rPr>
          <w:lang w:eastAsia="en-AU"/>
        </w:rPr>
        <w:t>nder the proposed reliability framework, ensuring sufficient capacity will be present in the DKIS to meet the reliability standard involves the following steps</w:t>
      </w:r>
      <w:r w:rsidR="00D31D33">
        <w:rPr>
          <w:lang w:eastAsia="en-AU"/>
        </w:rPr>
        <w:t xml:space="preserve">. The proposed timing associated with each step is </w:t>
      </w:r>
      <w:r w:rsidR="007C06F5" w:rsidRPr="00FC3F0E">
        <w:rPr>
          <w:lang w:eastAsia="en-AU"/>
        </w:rPr>
        <w:t xml:space="preserve">illustrated in </w:t>
      </w:r>
      <w:r w:rsidR="00592571" w:rsidRPr="008722C4">
        <w:rPr>
          <w:lang w:eastAsia="en-AU"/>
        </w:rPr>
        <w:t>Figure</w:t>
      </w:r>
      <w:r w:rsidR="00645719" w:rsidRPr="008722C4">
        <w:rPr>
          <w:lang w:eastAsia="en-AU"/>
        </w:rPr>
        <w:t xml:space="preserve"> 1.</w:t>
      </w:r>
    </w:p>
    <w:p w14:paraId="775AB11D" w14:textId="3B18896C" w:rsidR="00D156DF" w:rsidRDefault="00F5219C" w:rsidP="00D156DF">
      <w:pPr>
        <w:rPr>
          <w:lang w:eastAsia="en-AU"/>
        </w:rPr>
      </w:pPr>
      <w:r>
        <w:rPr>
          <w:lang w:eastAsia="en-AU"/>
        </w:rPr>
        <w:t>The framework involves:</w:t>
      </w:r>
    </w:p>
    <w:p w14:paraId="6D49AE21" w14:textId="77777777" w:rsidR="00D156DF" w:rsidRDefault="00D156DF" w:rsidP="00592571">
      <w:pPr>
        <w:pStyle w:val="Tablebulletlistlevel1"/>
        <w:spacing w:after="120"/>
        <w:rPr>
          <w:lang w:eastAsia="en-AU"/>
        </w:rPr>
      </w:pPr>
      <w:r>
        <w:rPr>
          <w:lang w:eastAsia="en-AU"/>
        </w:rPr>
        <w:t>A rolling four-year planning period with a new fourth year added each year during an annual reset</w:t>
      </w:r>
    </w:p>
    <w:p w14:paraId="3EAA06EC" w14:textId="0B29C186" w:rsidR="00D156DF" w:rsidRDefault="00D156DF" w:rsidP="00592571">
      <w:pPr>
        <w:pStyle w:val="Tablebulletlistlevel1"/>
        <w:spacing w:after="120"/>
        <w:rPr>
          <w:lang w:eastAsia="en-AU"/>
        </w:rPr>
      </w:pPr>
      <w:r>
        <w:rPr>
          <w:lang w:eastAsia="en-AU"/>
        </w:rPr>
        <w:t>Forecasting of system demand across the planning period resulting in review and amendment (resetting) of the first three years and developing a new projection of demand for the fourth year</w:t>
      </w:r>
    </w:p>
    <w:p w14:paraId="1BD86AF9" w14:textId="77777777" w:rsidR="00D156DF" w:rsidRDefault="00D156DF" w:rsidP="00592571">
      <w:pPr>
        <w:pStyle w:val="Tablebulletlistlevel1"/>
        <w:keepNext/>
        <w:spacing w:after="120"/>
        <w:rPr>
          <w:lang w:eastAsia="en-AU"/>
        </w:rPr>
      </w:pPr>
      <w:r>
        <w:rPr>
          <w:lang w:eastAsia="en-AU"/>
        </w:rPr>
        <w:t>The Reliability Manager:</w:t>
      </w:r>
    </w:p>
    <w:p w14:paraId="588C80C3" w14:textId="5BF1F8A3" w:rsidR="00D156DF" w:rsidRDefault="00D156DF" w:rsidP="00592571">
      <w:pPr>
        <w:pStyle w:val="Tablebulletlistlevel2"/>
        <w:keepNext/>
        <w:spacing w:after="120"/>
        <w:rPr>
          <w:lang w:eastAsia="en-AU"/>
        </w:rPr>
      </w:pPr>
      <w:r>
        <w:rPr>
          <w:lang w:eastAsia="en-AU"/>
        </w:rPr>
        <w:t xml:space="preserve">Assessing the ability of each </w:t>
      </w:r>
      <w:r w:rsidR="003F0E1F">
        <w:rPr>
          <w:lang w:eastAsia="en-AU"/>
        </w:rPr>
        <w:t xml:space="preserve">capacity source </w:t>
      </w:r>
      <w:r>
        <w:rPr>
          <w:lang w:eastAsia="en-AU"/>
        </w:rPr>
        <w:t xml:space="preserve">to contribute to meeting the reliability standard (accredited capacity) </w:t>
      </w:r>
    </w:p>
    <w:p w14:paraId="21349C6C" w14:textId="77777777" w:rsidR="00D156DF" w:rsidRDefault="00D156DF" w:rsidP="00592571">
      <w:pPr>
        <w:pStyle w:val="Tablebulletlistlevel2"/>
        <w:spacing w:after="120"/>
        <w:rPr>
          <w:lang w:eastAsia="en-AU"/>
        </w:rPr>
      </w:pPr>
      <w:r>
        <w:rPr>
          <w:lang w:eastAsia="en-AU"/>
        </w:rPr>
        <w:t>Determining the amount of accredited capacity needed to meet the reliability standard and setting a new obligation for the new fourth year</w:t>
      </w:r>
    </w:p>
    <w:p w14:paraId="7A619E11" w14:textId="77777777" w:rsidR="00D156DF" w:rsidRDefault="00D156DF" w:rsidP="00592571">
      <w:pPr>
        <w:pStyle w:val="Tablebulletlistlevel2"/>
        <w:spacing w:after="120"/>
        <w:rPr>
          <w:lang w:eastAsia="en-AU"/>
        </w:rPr>
      </w:pPr>
      <w:r>
        <w:rPr>
          <w:lang w:eastAsia="en-AU"/>
        </w:rPr>
        <w:lastRenderedPageBreak/>
        <w:t>Allocating accountability to each retailer for a share of the required accredited capacity (their capacity obligation)</w:t>
      </w:r>
    </w:p>
    <w:p w14:paraId="0DF9F348" w14:textId="6CDC5F93" w:rsidR="00D156DF" w:rsidRDefault="00D156DF" w:rsidP="00592571">
      <w:pPr>
        <w:pStyle w:val="Tablebulletlistlevel1"/>
        <w:spacing w:after="120"/>
        <w:rPr>
          <w:lang w:eastAsia="en-AU"/>
        </w:rPr>
      </w:pPr>
      <w:r>
        <w:rPr>
          <w:lang w:eastAsia="en-AU"/>
        </w:rPr>
        <w:t xml:space="preserve">Retailers contracting with </w:t>
      </w:r>
      <w:r w:rsidR="003F0E1F">
        <w:rPr>
          <w:lang w:eastAsia="en-AU"/>
        </w:rPr>
        <w:t xml:space="preserve">capacity sources </w:t>
      </w:r>
      <w:r>
        <w:rPr>
          <w:lang w:eastAsia="en-AU"/>
        </w:rPr>
        <w:t>for their capacity obligation or advising the Reliability Manager they wish the Reliability Manager to acquire their share and be charged accordingly</w:t>
      </w:r>
    </w:p>
    <w:p w14:paraId="48F6C36F" w14:textId="36676A2D" w:rsidR="00D156DF" w:rsidRDefault="00D156DF" w:rsidP="00592571">
      <w:pPr>
        <w:pStyle w:val="Tablebulletlistlevel1"/>
        <w:spacing w:after="120"/>
        <w:rPr>
          <w:lang w:eastAsia="en-AU"/>
        </w:rPr>
      </w:pPr>
      <w:r>
        <w:rPr>
          <w:lang w:eastAsia="en-AU"/>
        </w:rPr>
        <w:t>Ex</w:t>
      </w:r>
      <w:r w:rsidR="00BD3AC6">
        <w:rPr>
          <w:lang w:eastAsia="en-AU"/>
        </w:rPr>
        <w:t>-</w:t>
      </w:r>
      <w:r>
        <w:rPr>
          <w:lang w:eastAsia="en-AU"/>
        </w:rPr>
        <w:t>post review by the Reliability Manager of the adequacy of the amount of capacity each retailer presented to market. Any retailer holding a surplus will be obligated to sell that surplus to any retailer holding a deficit</w:t>
      </w:r>
    </w:p>
    <w:p w14:paraId="3DB44E98" w14:textId="7FE8D899" w:rsidR="00D156DF" w:rsidRDefault="00D156DF" w:rsidP="00592571">
      <w:pPr>
        <w:pStyle w:val="Tablebulletlistlevel2"/>
        <w:spacing w:after="120"/>
        <w:rPr>
          <w:lang w:eastAsia="en-AU"/>
        </w:rPr>
      </w:pPr>
      <w:r>
        <w:rPr>
          <w:lang w:eastAsia="en-AU"/>
        </w:rPr>
        <w:t>If retailers fail to reconcile their ex</w:t>
      </w:r>
      <w:r w:rsidR="00BD3AC6">
        <w:rPr>
          <w:lang w:eastAsia="en-AU"/>
        </w:rPr>
        <w:t>-</w:t>
      </w:r>
      <w:r>
        <w:rPr>
          <w:lang w:eastAsia="en-AU"/>
        </w:rPr>
        <w:t>post surplus and deficit positions after two months, they will be required to buy and sell at the capacity price to reconcile their positions</w:t>
      </w:r>
    </w:p>
    <w:p w14:paraId="4937EBD1" w14:textId="490BC936" w:rsidR="00D156DF" w:rsidRDefault="00D156DF" w:rsidP="00592571">
      <w:pPr>
        <w:pStyle w:val="Tablebulletlistlevel2"/>
        <w:spacing w:after="120"/>
        <w:rPr>
          <w:lang w:eastAsia="en-AU"/>
        </w:rPr>
      </w:pPr>
      <w:r>
        <w:rPr>
          <w:lang w:eastAsia="en-AU"/>
        </w:rPr>
        <w:t xml:space="preserve">Reconciliation of surplus and deficit between retailers does not affect the trade between retailers and </w:t>
      </w:r>
      <w:r w:rsidR="003F0E1F">
        <w:rPr>
          <w:lang w:eastAsia="en-AU"/>
        </w:rPr>
        <w:t xml:space="preserve">capacity providers </w:t>
      </w:r>
      <w:r>
        <w:rPr>
          <w:lang w:eastAsia="en-AU"/>
        </w:rPr>
        <w:t>who may trade bilaterally at any time during a planning period</w:t>
      </w:r>
    </w:p>
    <w:p w14:paraId="015E9F86" w14:textId="14E038C1" w:rsidR="00D156DF" w:rsidRDefault="00D156DF" w:rsidP="00592571">
      <w:pPr>
        <w:pStyle w:val="Tablebulletlistlevel3"/>
        <w:spacing w:after="120"/>
        <w:rPr>
          <w:lang w:eastAsia="en-AU"/>
        </w:rPr>
      </w:pPr>
      <w:r>
        <w:rPr>
          <w:lang w:eastAsia="en-AU"/>
        </w:rPr>
        <w:t>Mandated ex</w:t>
      </w:r>
      <w:r w:rsidR="00BD3AC6">
        <w:rPr>
          <w:lang w:eastAsia="en-AU"/>
        </w:rPr>
        <w:t>-</w:t>
      </w:r>
      <w:r>
        <w:rPr>
          <w:lang w:eastAsia="en-AU"/>
        </w:rPr>
        <w:t xml:space="preserve">post sales will not expose </w:t>
      </w:r>
      <w:r w:rsidR="003F0E1F">
        <w:rPr>
          <w:lang w:eastAsia="en-AU"/>
        </w:rPr>
        <w:t xml:space="preserve">capacity providers </w:t>
      </w:r>
      <w:r>
        <w:rPr>
          <w:lang w:eastAsia="en-AU"/>
        </w:rPr>
        <w:t xml:space="preserve">to credit risk as payment will have already been made for the period in question. </w:t>
      </w:r>
    </w:p>
    <w:p w14:paraId="0E50EBA9" w14:textId="2A0BD816" w:rsidR="00FC3F0E" w:rsidRDefault="00D156DF" w:rsidP="00100A74">
      <w:pPr>
        <w:pStyle w:val="Tablebulletlistlevel1"/>
        <w:numPr>
          <w:ilvl w:val="0"/>
          <w:numId w:val="0"/>
        </w:numPr>
        <w:spacing w:before="200" w:after="200"/>
        <w:rPr>
          <w:lang w:eastAsia="en-AU"/>
        </w:rPr>
      </w:pPr>
      <w:r>
        <w:rPr>
          <w:lang w:eastAsia="en-AU"/>
        </w:rPr>
        <w:t>In the unusual event that the ex-post review determines that there was a net deficit in contracted capacity, the reliability standard would not have been met. In this circumstance, any retailer in deficit will pay the Reliability Manager for the amount of shortfall at the capacity price plus a 10 per cent premium. Proceeds will be used to offset any additional costs incurred by the Reliability Manager and potentially reimburse customers who will have experienced an unacceptable level of reliability.</w:t>
      </w:r>
      <w:r w:rsidR="00402911">
        <w:rPr>
          <w:lang w:eastAsia="en-AU"/>
        </w:rPr>
        <w:t xml:space="preserve"> </w:t>
      </w:r>
    </w:p>
    <w:p w14:paraId="1B5C88D4" w14:textId="236D7C7D" w:rsidR="00592571" w:rsidRDefault="008033D6" w:rsidP="00592571">
      <w:pPr>
        <w:pStyle w:val="Tablebulletlistlevel1"/>
        <w:numPr>
          <w:ilvl w:val="0"/>
          <w:numId w:val="0"/>
        </w:numPr>
        <w:spacing w:before="120" w:after="200"/>
        <w:rPr>
          <w:lang w:eastAsia="en-AU"/>
        </w:rPr>
      </w:pPr>
      <w:r>
        <w:rPr>
          <w:lang w:eastAsia="en-AU"/>
        </w:rPr>
        <w:t>Appendix A provides an illustrative overview of the proposed capacity mechanism, with a focus on contractual arrangements and cash flows between relevant parties under the mechanism.</w:t>
      </w:r>
    </w:p>
    <w:tbl>
      <w:tblPr>
        <w:tblStyle w:val="TableGrid"/>
        <w:tblW w:w="0" w:type="auto"/>
        <w:tblLook w:val="04A0" w:firstRow="1" w:lastRow="0" w:firstColumn="1" w:lastColumn="0" w:noHBand="0" w:noVBand="1"/>
      </w:tblPr>
      <w:tblGrid>
        <w:gridCol w:w="10308"/>
      </w:tblGrid>
      <w:tr w:rsidR="00592571" w14:paraId="65D13351" w14:textId="77777777" w:rsidTr="00592571">
        <w:tc>
          <w:tcPr>
            <w:tcW w:w="10308" w:type="dxa"/>
          </w:tcPr>
          <w:p w14:paraId="0C8899F7" w14:textId="58AA7D47" w:rsidR="00592571" w:rsidRPr="00E07AE2" w:rsidRDefault="009A4556" w:rsidP="00592571">
            <w:pPr>
              <w:spacing w:before="200"/>
              <w:rPr>
                <w:b/>
              </w:rPr>
            </w:pPr>
            <w:r>
              <w:rPr>
                <w:b/>
                <w:caps/>
              </w:rPr>
              <w:t>Consultation question</w:t>
            </w:r>
            <w:r w:rsidR="00592571" w:rsidRPr="00E07AE2">
              <w:rPr>
                <w:b/>
              </w:rPr>
              <w:t>:</w:t>
            </w:r>
          </w:p>
          <w:p w14:paraId="6F8757E4" w14:textId="0ED8B13B" w:rsidR="00592571" w:rsidRDefault="00A84DC7" w:rsidP="00592571">
            <w:pPr>
              <w:pStyle w:val="ListParagraph"/>
              <w:numPr>
                <w:ilvl w:val="0"/>
                <w:numId w:val="65"/>
              </w:numPr>
              <w:spacing w:before="200" w:after="200"/>
            </w:pPr>
            <w:r>
              <w:t>Do</w:t>
            </w:r>
            <w:r w:rsidR="00592571">
              <w:t xml:space="preserve"> the proposed timeframes</w:t>
            </w:r>
            <w:r w:rsidR="003F0E1F">
              <w:t xml:space="preserve"> in Figure 1</w:t>
            </w:r>
            <w:r w:rsidR="00592571">
              <w:t xml:space="preserve"> allow sufficient time between the Reliability Manager advising capacity obligations for Year 4 and retailers notifying the Reliability Manager of their purchasing intentions (that is, either the retailer will procure for itself or the retailer requests the Reliability Manager to purchase on its behalf)? </w:t>
            </w:r>
          </w:p>
          <w:p w14:paraId="3643CAC0" w14:textId="77777777" w:rsidR="00592571" w:rsidRDefault="00592571" w:rsidP="00592571">
            <w:pPr>
              <w:spacing w:before="200"/>
              <w:ind w:left="734"/>
            </w:pPr>
            <w:r>
              <w:t>If no, please explain your answer.</w:t>
            </w:r>
          </w:p>
          <w:p w14:paraId="2EC20F49" w14:textId="03D4C558" w:rsidR="00592571" w:rsidRDefault="00592571" w:rsidP="00592571">
            <w:pPr>
              <w:pStyle w:val="ListParagraph"/>
              <w:numPr>
                <w:ilvl w:val="0"/>
                <w:numId w:val="65"/>
              </w:numPr>
              <w:spacing w:before="200" w:after="200"/>
            </w:pPr>
            <w:r>
              <w:t xml:space="preserve">What issues and constraints need to be considered in adjusting contracts in response to capacity obligation resets in earlier years (Years 1 to 3), noting the rolling nature of the capacity mechanism should mean these are relatively minor? </w:t>
            </w:r>
          </w:p>
        </w:tc>
      </w:tr>
    </w:tbl>
    <w:p w14:paraId="6C529788" w14:textId="77777777" w:rsidR="008033D6" w:rsidRDefault="008033D6" w:rsidP="008033D6">
      <w:pPr>
        <w:pStyle w:val="Tablebulletlistlevel1"/>
        <w:numPr>
          <w:ilvl w:val="0"/>
          <w:numId w:val="0"/>
        </w:numPr>
        <w:rPr>
          <w:lang w:eastAsia="en-AU"/>
        </w:rPr>
      </w:pPr>
    </w:p>
    <w:p w14:paraId="02CBE7BE" w14:textId="6200C2F3" w:rsidR="00FE69A3" w:rsidRDefault="00FE69A3" w:rsidP="00DC09AD">
      <w:pPr>
        <w:rPr>
          <w:lang w:eastAsia="en-AU"/>
        </w:rPr>
        <w:sectPr w:rsidR="00FE69A3" w:rsidSect="00C95D30">
          <w:footerReference w:type="default" r:id="rId18"/>
          <w:headerReference w:type="first" r:id="rId19"/>
          <w:pgSz w:w="11906" w:h="16838" w:code="9"/>
          <w:pgMar w:top="794" w:right="794" w:bottom="794" w:left="794" w:header="794" w:footer="794" w:gutter="0"/>
          <w:cols w:space="708"/>
          <w:docGrid w:linePitch="360"/>
        </w:sectPr>
      </w:pPr>
    </w:p>
    <w:p w14:paraId="460036C9" w14:textId="3AEB8BE2" w:rsidR="00B72C2C" w:rsidRPr="009A4556" w:rsidRDefault="00592571" w:rsidP="009A4556">
      <w:pPr>
        <w:pStyle w:val="Caption"/>
        <w:rPr>
          <w:b/>
          <w:bCs/>
          <w:iCs w:val="0"/>
        </w:rPr>
      </w:pPr>
      <w:r w:rsidRPr="009A4556">
        <w:rPr>
          <w:b/>
          <w:bCs/>
          <w:iCs w:val="0"/>
        </w:rPr>
        <w:lastRenderedPageBreak/>
        <w:t>Figure</w:t>
      </w:r>
      <w:r w:rsidR="00B72C2C" w:rsidRPr="009A4556">
        <w:rPr>
          <w:b/>
          <w:bCs/>
          <w:iCs w:val="0"/>
        </w:rPr>
        <w:t xml:space="preserve"> </w:t>
      </w:r>
      <w:r w:rsidR="00BD412C" w:rsidRPr="009A4556">
        <w:rPr>
          <w:b/>
          <w:bCs/>
          <w:iCs w:val="0"/>
        </w:rPr>
        <w:fldChar w:fldCharType="begin"/>
      </w:r>
      <w:r w:rsidR="00BD412C" w:rsidRPr="009A4556">
        <w:rPr>
          <w:b/>
          <w:bCs/>
          <w:iCs w:val="0"/>
        </w:rPr>
        <w:instrText xml:space="preserve"> SEQ Table \* ARABIC </w:instrText>
      </w:r>
      <w:r w:rsidR="00BD412C" w:rsidRPr="009A4556">
        <w:rPr>
          <w:b/>
          <w:bCs/>
          <w:iCs w:val="0"/>
        </w:rPr>
        <w:fldChar w:fldCharType="separate"/>
      </w:r>
      <w:r w:rsidR="0075080B" w:rsidRPr="009A4556">
        <w:rPr>
          <w:b/>
          <w:bCs/>
          <w:iCs w:val="0"/>
          <w:noProof/>
        </w:rPr>
        <w:t>1</w:t>
      </w:r>
      <w:r w:rsidR="00BD412C" w:rsidRPr="009A4556">
        <w:rPr>
          <w:b/>
          <w:bCs/>
          <w:iCs w:val="0"/>
        </w:rPr>
        <w:fldChar w:fldCharType="end"/>
      </w:r>
      <w:r w:rsidR="00B72C2C" w:rsidRPr="009A4556">
        <w:rPr>
          <w:b/>
          <w:bCs/>
          <w:iCs w:val="0"/>
        </w:rPr>
        <w:t xml:space="preserve"> Summary of key tasks and timing</w:t>
      </w:r>
      <w:r w:rsidRPr="009A4556">
        <w:rPr>
          <w:b/>
          <w:bCs/>
          <w:iCs w:val="0"/>
        </w:rPr>
        <w:t xml:space="preserve"> for the proposed capacity mechanism</w:t>
      </w:r>
    </w:p>
    <w:p w14:paraId="7CB59FD2" w14:textId="17EA1229" w:rsidR="002C0B0F" w:rsidRPr="002C0B0F" w:rsidRDefault="002C0B0F" w:rsidP="002C0B0F">
      <w:r>
        <w:rPr>
          <w:noProof/>
          <w:lang w:eastAsia="en-AU"/>
        </w:rPr>
        <w:drawing>
          <wp:inline distT="0" distB="0" distL="0" distR="0" wp14:anchorId="06A72334" wp14:editId="02DEB8FE">
            <wp:extent cx="9265920" cy="4624705"/>
            <wp:effectExtent l="0" t="0" r="0" b="4445"/>
            <wp:docPr id="4" name="Picture 4" descr="For detailed description email electricityreform@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meline table landscape - bolder font.png"/>
                    <pic:cNvPicPr/>
                  </pic:nvPicPr>
                  <pic:blipFill rotWithShape="1">
                    <a:blip r:embed="rId20" cstate="print">
                      <a:extLst>
                        <a:ext uri="{28A0092B-C50C-407E-A947-70E740481C1C}">
                          <a14:useLocalDpi xmlns:a14="http://schemas.microsoft.com/office/drawing/2010/main" val="0"/>
                        </a:ext>
                      </a:extLst>
                    </a:blip>
                    <a:srcRect t="6006" b="23387"/>
                    <a:stretch/>
                  </pic:blipFill>
                  <pic:spPr bwMode="auto">
                    <a:xfrm>
                      <a:off x="0" y="0"/>
                      <a:ext cx="9265920" cy="4624705"/>
                    </a:xfrm>
                    <a:prstGeom prst="rect">
                      <a:avLst/>
                    </a:prstGeom>
                    <a:ln>
                      <a:noFill/>
                    </a:ln>
                    <a:extLst>
                      <a:ext uri="{53640926-AAD7-44D8-BBD7-CCE9431645EC}">
                        <a14:shadowObscured xmlns:a14="http://schemas.microsoft.com/office/drawing/2010/main"/>
                      </a:ext>
                    </a:extLst>
                  </pic:spPr>
                </pic:pic>
              </a:graphicData>
            </a:graphic>
          </wp:inline>
        </w:drawing>
      </w:r>
    </w:p>
    <w:p w14:paraId="6F1CB4BD" w14:textId="7A8A7D51" w:rsidR="00B72C2C" w:rsidRDefault="00B72C2C" w:rsidP="00DC09AD">
      <w:pPr>
        <w:rPr>
          <w:lang w:eastAsia="en-AU"/>
        </w:rPr>
        <w:sectPr w:rsidR="00B72C2C" w:rsidSect="00587184">
          <w:pgSz w:w="16838" w:h="11906" w:orient="landscape" w:code="9"/>
          <w:pgMar w:top="794" w:right="794" w:bottom="794" w:left="794" w:header="794" w:footer="794" w:gutter="0"/>
          <w:cols w:space="708"/>
          <w:docGrid w:linePitch="360"/>
        </w:sectPr>
      </w:pPr>
    </w:p>
    <w:p w14:paraId="6B27ADD9" w14:textId="2B482259" w:rsidR="00DC09AD" w:rsidRPr="002C0B0F" w:rsidRDefault="00DC09AD" w:rsidP="002C0B0F">
      <w:pPr>
        <w:pStyle w:val="Heading2"/>
      </w:pPr>
      <w:bookmarkStart w:id="10" w:name="_Toc59188465"/>
      <w:r w:rsidRPr="002C0B0F">
        <w:lastRenderedPageBreak/>
        <w:t xml:space="preserve">Determining the forecast </w:t>
      </w:r>
      <w:r w:rsidR="00E16E12" w:rsidRPr="002C0B0F">
        <w:t xml:space="preserve">of required </w:t>
      </w:r>
      <w:r w:rsidRPr="002C0B0F">
        <w:t>accredited capacity</w:t>
      </w:r>
      <w:bookmarkEnd w:id="10"/>
    </w:p>
    <w:p w14:paraId="6C45412F" w14:textId="1B097B18" w:rsidR="00867AE3" w:rsidRDefault="00DC09AD" w:rsidP="00DC09AD">
      <w:pPr>
        <w:rPr>
          <w:lang w:eastAsia="en-AU"/>
        </w:rPr>
      </w:pPr>
      <w:r>
        <w:rPr>
          <w:lang w:eastAsia="en-AU"/>
        </w:rPr>
        <w:t xml:space="preserve">A key responsibility of the Reliability Manager </w:t>
      </w:r>
      <w:r w:rsidR="005B5FF5">
        <w:rPr>
          <w:lang w:eastAsia="en-AU"/>
        </w:rPr>
        <w:t xml:space="preserve">function </w:t>
      </w:r>
      <w:r>
        <w:rPr>
          <w:lang w:eastAsia="en-AU"/>
        </w:rPr>
        <w:t xml:space="preserve">will be to translate the </w:t>
      </w:r>
      <w:r w:rsidR="00D04D1F">
        <w:rPr>
          <w:lang w:eastAsia="en-AU"/>
        </w:rPr>
        <w:t>r</w:t>
      </w:r>
      <w:r>
        <w:rPr>
          <w:lang w:eastAsia="en-AU"/>
        </w:rPr>
        <w:t xml:space="preserve">eliability </w:t>
      </w:r>
      <w:r w:rsidR="00D04D1F">
        <w:rPr>
          <w:lang w:eastAsia="en-AU"/>
        </w:rPr>
        <w:t>s</w:t>
      </w:r>
      <w:r>
        <w:rPr>
          <w:lang w:eastAsia="en-AU"/>
        </w:rPr>
        <w:t xml:space="preserve">tandard into a forecast physical capacity requirement. </w:t>
      </w:r>
      <w:r w:rsidR="00FB4271">
        <w:rPr>
          <w:lang w:eastAsia="en-AU"/>
        </w:rPr>
        <w:t xml:space="preserve">The requirement reflects the accredited capacity, not nameplate or other measures of capacity. The accreditation of capacity is discussed </w:t>
      </w:r>
      <w:r w:rsidR="00867AE3" w:rsidRPr="007B10CC">
        <w:rPr>
          <w:lang w:eastAsia="en-AU"/>
        </w:rPr>
        <w:t xml:space="preserve">in Section </w:t>
      </w:r>
      <w:r w:rsidR="007B10CC">
        <w:rPr>
          <w:lang w:eastAsia="en-AU"/>
        </w:rPr>
        <w:t>5</w:t>
      </w:r>
      <w:r w:rsidR="00867AE3">
        <w:rPr>
          <w:lang w:eastAsia="en-AU"/>
        </w:rPr>
        <w:t>.</w:t>
      </w:r>
    </w:p>
    <w:p w14:paraId="37E2A2E2" w14:textId="4EF0A8C4" w:rsidR="00DC09AD" w:rsidRDefault="00D04D1F" w:rsidP="00DC09AD">
      <w:pPr>
        <w:rPr>
          <w:lang w:eastAsia="en-AU"/>
        </w:rPr>
      </w:pPr>
      <w:r>
        <w:rPr>
          <w:lang w:eastAsia="en-AU"/>
        </w:rPr>
        <w:t>T</w:t>
      </w:r>
      <w:r w:rsidR="0021449D">
        <w:rPr>
          <w:lang w:eastAsia="en-AU"/>
        </w:rPr>
        <w:t>he proposed</w:t>
      </w:r>
      <w:r w:rsidR="00DC09AD">
        <w:rPr>
          <w:lang w:eastAsia="en-AU"/>
        </w:rPr>
        <w:t xml:space="preserve"> </w:t>
      </w:r>
      <w:r w:rsidR="00EF66E2">
        <w:rPr>
          <w:lang w:eastAsia="en-AU"/>
        </w:rPr>
        <w:t>four</w:t>
      </w:r>
      <w:r w:rsidR="00DC09AD">
        <w:rPr>
          <w:lang w:eastAsia="en-AU"/>
        </w:rPr>
        <w:t>-year planning period mean</w:t>
      </w:r>
      <w:r>
        <w:rPr>
          <w:lang w:eastAsia="en-AU"/>
        </w:rPr>
        <w:t>s</w:t>
      </w:r>
      <w:r w:rsidR="00DC09AD">
        <w:rPr>
          <w:lang w:eastAsia="en-AU"/>
        </w:rPr>
        <w:t xml:space="preserve"> that the Reliability Manager will be required to publish the forecast of </w:t>
      </w:r>
      <w:r w:rsidR="00FB4271">
        <w:rPr>
          <w:lang w:eastAsia="en-AU"/>
        </w:rPr>
        <w:t>accredited</w:t>
      </w:r>
      <w:r w:rsidR="00DC09AD">
        <w:rPr>
          <w:lang w:eastAsia="en-AU"/>
        </w:rPr>
        <w:t xml:space="preserve"> capacity requirement annually, for </w:t>
      </w:r>
      <w:r w:rsidR="00EF66E2">
        <w:rPr>
          <w:lang w:eastAsia="en-AU"/>
        </w:rPr>
        <w:t>four</w:t>
      </w:r>
      <w:r w:rsidR="00DC09AD">
        <w:rPr>
          <w:lang w:eastAsia="en-AU"/>
        </w:rPr>
        <w:t xml:space="preserve"> years in advance. This will provide a statement to retailers on their obligations to contract for capacity </w:t>
      </w:r>
      <w:r>
        <w:rPr>
          <w:lang w:eastAsia="en-AU"/>
        </w:rPr>
        <w:t xml:space="preserve">as well as inform </w:t>
      </w:r>
      <w:r w:rsidR="00DC09AD">
        <w:rPr>
          <w:lang w:eastAsia="en-AU"/>
        </w:rPr>
        <w:t xml:space="preserve">prospective </w:t>
      </w:r>
      <w:r w:rsidR="00867AE3">
        <w:rPr>
          <w:lang w:eastAsia="en-AU"/>
        </w:rPr>
        <w:t xml:space="preserve">capacity </w:t>
      </w:r>
      <w:r w:rsidR="00DC09AD">
        <w:rPr>
          <w:lang w:eastAsia="en-AU"/>
        </w:rPr>
        <w:t>providers</w:t>
      </w:r>
      <w:r w:rsidR="00C82AB9">
        <w:rPr>
          <w:lang w:eastAsia="en-AU"/>
        </w:rPr>
        <w:t xml:space="preserve"> of emerging opportunities for investment</w:t>
      </w:r>
      <w:r w:rsidR="00DC09AD">
        <w:rPr>
          <w:lang w:eastAsia="en-AU"/>
        </w:rPr>
        <w:t xml:space="preserve">. Typically, there </w:t>
      </w:r>
      <w:r w:rsidR="00913906">
        <w:rPr>
          <w:lang w:eastAsia="en-AU"/>
        </w:rPr>
        <w:t xml:space="preserve">may </w:t>
      </w:r>
      <w:r w:rsidR="00DC09AD">
        <w:rPr>
          <w:lang w:eastAsia="en-AU"/>
        </w:rPr>
        <w:t>be small change</w:t>
      </w:r>
      <w:r w:rsidR="00913906">
        <w:rPr>
          <w:lang w:eastAsia="en-AU"/>
        </w:rPr>
        <w:t>s</w:t>
      </w:r>
      <w:r w:rsidR="00DC09AD">
        <w:rPr>
          <w:lang w:eastAsia="en-AU"/>
        </w:rPr>
        <w:t xml:space="preserve"> in forecast</w:t>
      </w:r>
      <w:r w:rsidR="00913906">
        <w:rPr>
          <w:lang w:eastAsia="en-AU"/>
        </w:rPr>
        <w:t>s</w:t>
      </w:r>
      <w:r w:rsidR="00DC09AD">
        <w:rPr>
          <w:lang w:eastAsia="en-AU"/>
        </w:rPr>
        <w:t xml:space="preserve"> </w:t>
      </w:r>
      <w:r w:rsidR="00C82AB9">
        <w:rPr>
          <w:lang w:eastAsia="en-AU"/>
        </w:rPr>
        <w:t xml:space="preserve">across </w:t>
      </w:r>
      <w:r w:rsidR="00DC09AD">
        <w:rPr>
          <w:lang w:eastAsia="en-AU"/>
        </w:rPr>
        <w:t xml:space="preserve">the first </w:t>
      </w:r>
      <w:r w:rsidR="00EF66E2">
        <w:rPr>
          <w:lang w:eastAsia="en-AU"/>
        </w:rPr>
        <w:t>three</w:t>
      </w:r>
      <w:r w:rsidR="00DC09AD">
        <w:rPr>
          <w:lang w:eastAsia="en-AU"/>
        </w:rPr>
        <w:t xml:space="preserve"> years as these will have been assessed in previous years </w:t>
      </w:r>
      <w:r w:rsidR="00913906">
        <w:rPr>
          <w:lang w:eastAsia="en-AU"/>
        </w:rPr>
        <w:t>to adjust for any</w:t>
      </w:r>
      <w:r w:rsidR="00867AE3">
        <w:rPr>
          <w:lang w:eastAsia="en-AU"/>
        </w:rPr>
        <w:t xml:space="preserve"> </w:t>
      </w:r>
      <w:r w:rsidR="00851021">
        <w:rPr>
          <w:lang w:eastAsia="en-AU"/>
        </w:rPr>
        <w:t xml:space="preserve">minor </w:t>
      </w:r>
      <w:r>
        <w:rPr>
          <w:lang w:eastAsia="en-AU"/>
        </w:rPr>
        <w:t xml:space="preserve">changes in demand and/or supply that are expected to </w:t>
      </w:r>
      <w:r w:rsidR="00FB4271">
        <w:rPr>
          <w:lang w:eastAsia="en-AU"/>
        </w:rPr>
        <w:t>impact</w:t>
      </w:r>
      <w:r>
        <w:rPr>
          <w:lang w:eastAsia="en-AU"/>
        </w:rPr>
        <w:t xml:space="preserve"> </w:t>
      </w:r>
      <w:r w:rsidR="00867AE3">
        <w:rPr>
          <w:lang w:eastAsia="en-AU"/>
        </w:rPr>
        <w:t>those</w:t>
      </w:r>
      <w:r>
        <w:rPr>
          <w:lang w:eastAsia="en-AU"/>
        </w:rPr>
        <w:t xml:space="preserve"> years</w:t>
      </w:r>
      <w:r w:rsidR="00DC09AD">
        <w:rPr>
          <w:lang w:eastAsia="en-AU"/>
        </w:rPr>
        <w:t>.</w:t>
      </w:r>
    </w:p>
    <w:p w14:paraId="0C8F86DB" w14:textId="6876B3E4" w:rsidR="00DC09AD" w:rsidRDefault="00FB4271" w:rsidP="00DC09AD">
      <w:pPr>
        <w:rPr>
          <w:lang w:eastAsia="en-AU"/>
        </w:rPr>
      </w:pPr>
      <w:r>
        <w:rPr>
          <w:lang w:eastAsia="en-AU"/>
        </w:rPr>
        <w:t>T</w:t>
      </w:r>
      <w:r w:rsidR="00DC09AD">
        <w:rPr>
          <w:lang w:eastAsia="en-AU"/>
        </w:rPr>
        <w:t>he Reliability Manager will be responsible for dev</w:t>
      </w:r>
      <w:r>
        <w:rPr>
          <w:lang w:eastAsia="en-AU"/>
        </w:rPr>
        <w:t>eloping the methodology for the</w:t>
      </w:r>
      <w:r w:rsidR="00DC09AD">
        <w:rPr>
          <w:lang w:eastAsia="en-AU"/>
        </w:rPr>
        <w:t xml:space="preserve"> calculation</w:t>
      </w:r>
      <w:r>
        <w:rPr>
          <w:lang w:eastAsia="en-AU"/>
        </w:rPr>
        <w:t xml:space="preserve"> of the forecast </w:t>
      </w:r>
      <w:r w:rsidR="00C90685">
        <w:rPr>
          <w:lang w:eastAsia="en-AU"/>
        </w:rPr>
        <w:t>and should use</w:t>
      </w:r>
      <w:r w:rsidR="00DC09AD">
        <w:rPr>
          <w:lang w:eastAsia="en-AU"/>
        </w:rPr>
        <w:t xml:space="preserve"> one of the well</w:t>
      </w:r>
      <w:r w:rsidR="007C06F5">
        <w:rPr>
          <w:lang w:eastAsia="en-AU"/>
        </w:rPr>
        <w:t>-</w:t>
      </w:r>
      <w:r w:rsidR="00DC09AD">
        <w:rPr>
          <w:lang w:eastAsia="en-AU"/>
        </w:rPr>
        <w:t xml:space="preserve">established industry modelling tools. </w:t>
      </w:r>
      <w:r w:rsidR="007D4EC7">
        <w:rPr>
          <w:lang w:eastAsia="en-AU"/>
        </w:rPr>
        <w:t xml:space="preserve">Once finalised, the methodology will be published. </w:t>
      </w:r>
      <w:r w:rsidR="00DC062E">
        <w:rPr>
          <w:lang w:eastAsia="en-AU"/>
        </w:rPr>
        <w:t xml:space="preserve">The Reliability Manager will </w:t>
      </w:r>
      <w:r w:rsidR="00A84DC7">
        <w:rPr>
          <w:lang w:eastAsia="en-AU"/>
        </w:rPr>
        <w:t>perform the</w:t>
      </w:r>
      <w:r w:rsidR="00DC09AD">
        <w:rPr>
          <w:lang w:eastAsia="en-AU"/>
        </w:rPr>
        <w:t xml:space="preserve"> calculation once a year as part of the </w:t>
      </w:r>
      <w:r w:rsidR="00867AE3">
        <w:rPr>
          <w:lang w:eastAsia="en-AU"/>
        </w:rPr>
        <w:t xml:space="preserve">process of planning </w:t>
      </w:r>
      <w:r w:rsidR="00DC09AD">
        <w:rPr>
          <w:lang w:eastAsia="en-AU"/>
        </w:rPr>
        <w:t xml:space="preserve">for the </w:t>
      </w:r>
      <w:r w:rsidR="008F29F6">
        <w:rPr>
          <w:lang w:eastAsia="en-AU"/>
        </w:rPr>
        <w:t>four</w:t>
      </w:r>
      <w:r w:rsidR="00055B94">
        <w:rPr>
          <w:lang w:eastAsia="en-AU"/>
        </w:rPr>
        <w:t>-</w:t>
      </w:r>
      <w:r w:rsidR="00DC09AD">
        <w:rPr>
          <w:lang w:eastAsia="en-AU"/>
        </w:rPr>
        <w:t xml:space="preserve">year </w:t>
      </w:r>
      <w:r w:rsidR="008F29F6">
        <w:rPr>
          <w:lang w:eastAsia="en-AU"/>
        </w:rPr>
        <w:t>period</w:t>
      </w:r>
      <w:r w:rsidR="00DC09AD">
        <w:rPr>
          <w:lang w:eastAsia="en-AU"/>
        </w:rPr>
        <w:t xml:space="preserve">. </w:t>
      </w:r>
      <w:r w:rsidR="004434A5">
        <w:rPr>
          <w:lang w:eastAsia="en-AU"/>
        </w:rPr>
        <w:t xml:space="preserve">The calculated aggregate accredited capacity requirement will also be published in </w:t>
      </w:r>
      <w:r w:rsidR="007D4EC7">
        <w:rPr>
          <w:lang w:eastAsia="en-AU"/>
        </w:rPr>
        <w:t xml:space="preserve">accordance with </w:t>
      </w:r>
      <w:r w:rsidR="00592571">
        <w:rPr>
          <w:lang w:eastAsia="en-AU"/>
        </w:rPr>
        <w:t>the timeframes in Figure 1.</w:t>
      </w:r>
    </w:p>
    <w:p w14:paraId="79352F5C" w14:textId="7B915CB8" w:rsidR="00DC09AD" w:rsidRDefault="00867AE3" w:rsidP="00DC09AD">
      <w:pPr>
        <w:rPr>
          <w:lang w:eastAsia="en-AU"/>
        </w:rPr>
      </w:pPr>
      <w:r>
        <w:rPr>
          <w:lang w:eastAsia="en-AU"/>
        </w:rPr>
        <w:t xml:space="preserve">The Reliability Manager </w:t>
      </w:r>
      <w:r w:rsidR="00A46455">
        <w:rPr>
          <w:lang w:eastAsia="en-AU"/>
        </w:rPr>
        <w:t xml:space="preserve">function </w:t>
      </w:r>
      <w:r>
        <w:rPr>
          <w:lang w:eastAsia="en-AU"/>
        </w:rPr>
        <w:t xml:space="preserve">will draw on information held by </w:t>
      </w:r>
      <w:r w:rsidR="00BD3AC6">
        <w:rPr>
          <w:lang w:eastAsia="en-AU"/>
        </w:rPr>
        <w:t xml:space="preserve">the </w:t>
      </w:r>
      <w:r>
        <w:rPr>
          <w:lang w:eastAsia="en-AU"/>
        </w:rPr>
        <w:t>System Control</w:t>
      </w:r>
      <w:r w:rsidR="00BD3AC6">
        <w:rPr>
          <w:lang w:eastAsia="en-AU"/>
        </w:rPr>
        <w:t>ler</w:t>
      </w:r>
      <w:r>
        <w:rPr>
          <w:lang w:eastAsia="en-AU"/>
        </w:rPr>
        <w:t xml:space="preserve"> </w:t>
      </w:r>
      <w:r w:rsidR="00851021">
        <w:rPr>
          <w:lang w:eastAsia="en-AU"/>
        </w:rPr>
        <w:t>as well as</w:t>
      </w:r>
      <w:r>
        <w:rPr>
          <w:lang w:eastAsia="en-AU"/>
        </w:rPr>
        <w:t xml:space="preserve"> source input from industry participants </w:t>
      </w:r>
      <w:r w:rsidR="00851021">
        <w:rPr>
          <w:lang w:eastAsia="en-AU"/>
        </w:rPr>
        <w:t>in order</w:t>
      </w:r>
      <w:r>
        <w:rPr>
          <w:lang w:eastAsia="en-AU"/>
        </w:rPr>
        <w:t xml:space="preserve"> to forecast demand and the </w:t>
      </w:r>
      <w:r w:rsidR="00DA5AC7">
        <w:rPr>
          <w:lang w:eastAsia="en-AU"/>
        </w:rPr>
        <w:t xml:space="preserve">aggregate </w:t>
      </w:r>
      <w:r>
        <w:rPr>
          <w:lang w:eastAsia="en-AU"/>
        </w:rPr>
        <w:t xml:space="preserve">accredited capacity requirement. </w:t>
      </w:r>
      <w:r w:rsidR="00DC09AD">
        <w:rPr>
          <w:lang w:eastAsia="en-AU"/>
        </w:rPr>
        <w:t>Key inputs for the modelling include:</w:t>
      </w:r>
      <w:r w:rsidR="00C82AB9">
        <w:rPr>
          <w:rStyle w:val="FootnoteReference"/>
          <w:lang w:eastAsia="en-AU"/>
        </w:rPr>
        <w:footnoteReference w:id="9"/>
      </w:r>
    </w:p>
    <w:p w14:paraId="0866D848" w14:textId="77777777" w:rsidR="00DC09AD" w:rsidRDefault="00867AE3" w:rsidP="00592571">
      <w:pPr>
        <w:pStyle w:val="Tablebulletlistlevel1"/>
        <w:spacing w:after="120"/>
        <w:rPr>
          <w:lang w:eastAsia="en-AU"/>
        </w:rPr>
      </w:pPr>
      <w:r>
        <w:rPr>
          <w:lang w:eastAsia="en-AU"/>
        </w:rPr>
        <w:t>Projected system-wide demand</w:t>
      </w:r>
    </w:p>
    <w:p w14:paraId="6C83FF5F" w14:textId="77777777" w:rsidR="00DC09AD" w:rsidRDefault="00867AE3" w:rsidP="00592571">
      <w:pPr>
        <w:pStyle w:val="Tablebulletlistlevel1"/>
        <w:spacing w:after="120"/>
        <w:rPr>
          <w:lang w:eastAsia="en-AU"/>
        </w:rPr>
      </w:pPr>
      <w:r>
        <w:rPr>
          <w:lang w:eastAsia="en-AU"/>
        </w:rPr>
        <w:t>Projected available c</w:t>
      </w:r>
      <w:r w:rsidR="00DC09AD">
        <w:rPr>
          <w:lang w:eastAsia="en-AU"/>
        </w:rPr>
        <w:t xml:space="preserve">apacity of existing and planned generating units including solar </w:t>
      </w:r>
      <w:r>
        <w:rPr>
          <w:lang w:eastAsia="en-AU"/>
        </w:rPr>
        <w:t>generation</w:t>
      </w:r>
      <w:r w:rsidR="00DC09AD">
        <w:rPr>
          <w:lang w:eastAsia="en-AU"/>
        </w:rPr>
        <w:t xml:space="preserve"> and battery storage resources</w:t>
      </w:r>
    </w:p>
    <w:p w14:paraId="1EE8C8B7" w14:textId="01874E89" w:rsidR="00DC09AD" w:rsidRDefault="00DC09AD" w:rsidP="00592571">
      <w:pPr>
        <w:pStyle w:val="Tablebulletlistlevel1"/>
        <w:spacing w:after="120"/>
        <w:rPr>
          <w:lang w:eastAsia="en-AU"/>
        </w:rPr>
      </w:pPr>
      <w:r>
        <w:rPr>
          <w:lang w:eastAsia="en-AU"/>
        </w:rPr>
        <w:t>Fuel cost, heat-rate, fixed and variable operating costs for existing and planned generating units</w:t>
      </w:r>
    </w:p>
    <w:p w14:paraId="6368C8DA" w14:textId="77777777" w:rsidR="00DC09AD" w:rsidRDefault="00DC09AD" w:rsidP="00592571">
      <w:pPr>
        <w:pStyle w:val="Tablebulletlistlevel1"/>
        <w:spacing w:after="120"/>
        <w:rPr>
          <w:lang w:eastAsia="en-AU"/>
        </w:rPr>
      </w:pPr>
      <w:r>
        <w:rPr>
          <w:lang w:eastAsia="en-AU"/>
        </w:rPr>
        <w:t xml:space="preserve">Potential new entrant generating plant including capital cost, fuel cost, heat-rate, fixed and variable operating costs </w:t>
      </w:r>
    </w:p>
    <w:p w14:paraId="45EE5220" w14:textId="77777777" w:rsidR="00DC09AD" w:rsidRDefault="00DC09AD" w:rsidP="00592571">
      <w:pPr>
        <w:pStyle w:val="Tablebulletlistlevel1"/>
        <w:spacing w:after="120"/>
        <w:rPr>
          <w:lang w:eastAsia="en-AU"/>
        </w:rPr>
      </w:pPr>
      <w:r>
        <w:rPr>
          <w:lang w:eastAsia="en-AU"/>
        </w:rPr>
        <w:t>Forecast forced outage rates of existing and planned generating units to calculate capacity needed to manage security</w:t>
      </w:r>
      <w:r w:rsidR="00767C6C">
        <w:rPr>
          <w:rStyle w:val="FootnoteReference"/>
          <w:lang w:eastAsia="en-AU"/>
        </w:rPr>
        <w:footnoteReference w:id="10"/>
      </w:r>
      <w:r w:rsidR="00830439">
        <w:rPr>
          <w:lang w:eastAsia="en-AU"/>
        </w:rPr>
        <w:t xml:space="preserve"> </w:t>
      </w:r>
    </w:p>
    <w:p w14:paraId="62D163EC" w14:textId="3EDC7D64" w:rsidR="00DC09AD" w:rsidRDefault="00DC09AD" w:rsidP="00592571">
      <w:pPr>
        <w:pStyle w:val="Tablebulletlistlevel1"/>
        <w:spacing w:after="120"/>
        <w:rPr>
          <w:lang w:eastAsia="en-AU"/>
        </w:rPr>
      </w:pPr>
      <w:r>
        <w:rPr>
          <w:lang w:eastAsia="en-AU"/>
        </w:rPr>
        <w:t>The size of units or generation blocks that can be interrupted</w:t>
      </w:r>
      <w:r w:rsidR="00767C6C">
        <w:rPr>
          <w:lang w:eastAsia="en-AU"/>
        </w:rPr>
        <w:t xml:space="preserve"> due to a single credible event</w:t>
      </w:r>
    </w:p>
    <w:p w14:paraId="15F34DD2" w14:textId="37B6E143" w:rsidR="00DC09AD" w:rsidRDefault="00DC09AD" w:rsidP="00592571">
      <w:pPr>
        <w:pStyle w:val="Tablebulletlistlevel1"/>
        <w:spacing w:after="120"/>
        <w:rPr>
          <w:lang w:eastAsia="en-AU"/>
        </w:rPr>
      </w:pPr>
      <w:r>
        <w:rPr>
          <w:lang w:eastAsia="en-AU"/>
        </w:rPr>
        <w:t>Transmission network details including transfer limits and losses</w:t>
      </w:r>
      <w:r w:rsidR="00B57780">
        <w:rPr>
          <w:lang w:eastAsia="en-AU"/>
        </w:rPr>
        <w:t>;</w:t>
      </w:r>
      <w:r>
        <w:rPr>
          <w:lang w:eastAsia="en-AU"/>
        </w:rPr>
        <w:t xml:space="preserve"> and</w:t>
      </w:r>
    </w:p>
    <w:p w14:paraId="33F72F6E" w14:textId="65001008" w:rsidR="00D27F0A" w:rsidRDefault="00DC09AD" w:rsidP="00592571">
      <w:pPr>
        <w:pStyle w:val="Tablebulletlistlevel1"/>
        <w:spacing w:after="120"/>
        <w:rPr>
          <w:lang w:eastAsia="en-AU"/>
        </w:rPr>
      </w:pPr>
      <w:r>
        <w:rPr>
          <w:lang w:eastAsia="en-AU"/>
        </w:rPr>
        <w:t>Investment and operating policies</w:t>
      </w:r>
      <w:r w:rsidR="00767C6C">
        <w:rPr>
          <w:lang w:eastAsia="en-AU"/>
        </w:rPr>
        <w:t>, for example, the r</w:t>
      </w:r>
      <w:r>
        <w:rPr>
          <w:lang w:eastAsia="en-AU"/>
        </w:rPr>
        <w:t xml:space="preserve">eliability </w:t>
      </w:r>
      <w:r w:rsidR="00767C6C">
        <w:rPr>
          <w:lang w:eastAsia="en-AU"/>
        </w:rPr>
        <w:t>s</w:t>
      </w:r>
      <w:r>
        <w:rPr>
          <w:lang w:eastAsia="en-AU"/>
        </w:rPr>
        <w:t xml:space="preserve">tandard, </w:t>
      </w:r>
      <w:r w:rsidR="001C34A2">
        <w:rPr>
          <w:lang w:eastAsia="en-AU"/>
        </w:rPr>
        <w:t>essential system services</w:t>
      </w:r>
      <w:r w:rsidR="00767C6C">
        <w:rPr>
          <w:lang w:eastAsia="en-AU"/>
        </w:rPr>
        <w:t xml:space="preserve"> constraints, emissions limits and </w:t>
      </w:r>
      <w:r>
        <w:rPr>
          <w:lang w:eastAsia="en-AU"/>
        </w:rPr>
        <w:t>renewable energy targets.</w:t>
      </w:r>
    </w:p>
    <w:p w14:paraId="66C7A106" w14:textId="64881ABA" w:rsidR="00DC09AD" w:rsidRDefault="00DC09AD" w:rsidP="00592571">
      <w:pPr>
        <w:spacing w:before="200"/>
        <w:rPr>
          <w:lang w:eastAsia="en-AU"/>
        </w:rPr>
      </w:pPr>
      <w:r>
        <w:rPr>
          <w:lang w:eastAsia="en-AU"/>
        </w:rPr>
        <w:t>Key outpu</w:t>
      </w:r>
      <w:r w:rsidR="00592571">
        <w:rPr>
          <w:lang w:eastAsia="en-AU"/>
        </w:rPr>
        <w:t xml:space="preserve">ts of the analysis will include the following, which will be published. </w:t>
      </w:r>
    </w:p>
    <w:p w14:paraId="13794A95" w14:textId="1A8B6AA4" w:rsidR="00DC09AD" w:rsidRDefault="00767C6C" w:rsidP="00592571">
      <w:pPr>
        <w:pStyle w:val="Tablebulletlistlevel1"/>
        <w:spacing w:after="120"/>
        <w:rPr>
          <w:lang w:eastAsia="en-AU"/>
        </w:rPr>
      </w:pPr>
      <w:r>
        <w:rPr>
          <w:lang w:eastAsia="en-AU"/>
        </w:rPr>
        <w:t>A s</w:t>
      </w:r>
      <w:r w:rsidR="00DC09AD">
        <w:rPr>
          <w:lang w:eastAsia="en-AU"/>
        </w:rPr>
        <w:t>tatistical report of instances of shortfall in capacity at di</w:t>
      </w:r>
      <w:r>
        <w:rPr>
          <w:lang w:eastAsia="en-AU"/>
        </w:rPr>
        <w:t>fferent times of</w:t>
      </w:r>
      <w:r w:rsidR="00A84DC7">
        <w:rPr>
          <w:lang w:eastAsia="en-AU"/>
        </w:rPr>
        <w:t xml:space="preserve"> the</w:t>
      </w:r>
      <w:r>
        <w:rPr>
          <w:lang w:eastAsia="en-AU"/>
        </w:rPr>
        <w:t xml:space="preserve"> day and season</w:t>
      </w:r>
      <w:r w:rsidR="00B57780">
        <w:rPr>
          <w:lang w:eastAsia="en-AU"/>
        </w:rPr>
        <w:t>;</w:t>
      </w:r>
      <w:r>
        <w:rPr>
          <w:lang w:eastAsia="en-AU"/>
        </w:rPr>
        <w:t xml:space="preserve"> and</w:t>
      </w:r>
    </w:p>
    <w:p w14:paraId="5100B31C" w14:textId="6DD7F98C" w:rsidR="004434A5" w:rsidRDefault="00851021" w:rsidP="00592571">
      <w:pPr>
        <w:pStyle w:val="Tablebulletlistlevel1"/>
        <w:spacing w:after="120"/>
        <w:rPr>
          <w:lang w:eastAsia="en-AU"/>
        </w:rPr>
      </w:pPr>
      <w:r>
        <w:rPr>
          <w:lang w:eastAsia="en-AU"/>
        </w:rPr>
        <w:t>The c</w:t>
      </w:r>
      <w:r w:rsidR="00DC09AD">
        <w:rPr>
          <w:lang w:eastAsia="en-AU"/>
        </w:rPr>
        <w:t xml:space="preserve">apacity required to ensure </w:t>
      </w:r>
      <w:r w:rsidR="00767C6C">
        <w:rPr>
          <w:lang w:eastAsia="en-AU"/>
        </w:rPr>
        <w:t xml:space="preserve">the </w:t>
      </w:r>
      <w:r w:rsidR="00DC09AD">
        <w:rPr>
          <w:lang w:eastAsia="en-AU"/>
        </w:rPr>
        <w:t xml:space="preserve">shortfall is no more than the </w:t>
      </w:r>
      <w:r w:rsidR="00767C6C">
        <w:rPr>
          <w:lang w:eastAsia="en-AU"/>
        </w:rPr>
        <w:t>r</w:t>
      </w:r>
      <w:r w:rsidR="00DC09AD">
        <w:rPr>
          <w:lang w:eastAsia="en-AU"/>
        </w:rPr>
        <w:t xml:space="preserve">eliability </w:t>
      </w:r>
      <w:r w:rsidR="00767C6C">
        <w:rPr>
          <w:lang w:eastAsia="en-AU"/>
        </w:rPr>
        <w:t>s</w:t>
      </w:r>
      <w:r w:rsidR="00DC09AD">
        <w:rPr>
          <w:lang w:eastAsia="en-AU"/>
        </w:rPr>
        <w:t>tandard – this level of capacity will define the capacity requirement</w:t>
      </w:r>
      <w:r w:rsidR="00767C6C">
        <w:rPr>
          <w:lang w:eastAsia="en-AU"/>
        </w:rPr>
        <w:t>.</w:t>
      </w:r>
    </w:p>
    <w:p w14:paraId="4AB2A0D0" w14:textId="4E73F818" w:rsidR="00D25288" w:rsidRPr="00FC3F0E" w:rsidRDefault="00867AE3" w:rsidP="00592571">
      <w:pPr>
        <w:spacing w:before="200"/>
        <w:rPr>
          <w:lang w:eastAsia="en-AU"/>
        </w:rPr>
      </w:pPr>
      <w:r w:rsidRPr="00FC3F0E">
        <w:rPr>
          <w:lang w:eastAsia="en-AU"/>
        </w:rPr>
        <w:t xml:space="preserve">The Reliability Manager will need to develop assessments of the contribution of different </w:t>
      </w:r>
      <w:r w:rsidR="001C34A2" w:rsidRPr="00FC3F0E">
        <w:rPr>
          <w:lang w:eastAsia="en-AU"/>
        </w:rPr>
        <w:t xml:space="preserve">facilities </w:t>
      </w:r>
      <w:r w:rsidRPr="00FC3F0E">
        <w:rPr>
          <w:lang w:eastAsia="en-AU"/>
        </w:rPr>
        <w:t>– their accredited capacity</w:t>
      </w:r>
      <w:r w:rsidR="00EF4253" w:rsidRPr="00FC3F0E">
        <w:rPr>
          <w:lang w:eastAsia="en-AU"/>
        </w:rPr>
        <w:t xml:space="preserve"> </w:t>
      </w:r>
      <w:r w:rsidRPr="00FC3F0E">
        <w:rPr>
          <w:lang w:eastAsia="en-AU"/>
        </w:rPr>
        <w:t>– and then specify how much accredited capacity needs to be present.</w:t>
      </w:r>
      <w:r w:rsidR="009C3F1D" w:rsidRPr="00FC3F0E">
        <w:rPr>
          <w:lang w:eastAsia="en-AU"/>
        </w:rPr>
        <w:t xml:space="preserve"> </w:t>
      </w:r>
    </w:p>
    <w:p w14:paraId="4B4B0966" w14:textId="7A9A0F76" w:rsidR="00867AE3" w:rsidRDefault="00100A74" w:rsidP="00592571">
      <w:pPr>
        <w:spacing w:before="200"/>
        <w:rPr>
          <w:lang w:eastAsia="en-AU"/>
        </w:rPr>
      </w:pPr>
      <w:r w:rsidRPr="008722C4">
        <w:rPr>
          <w:lang w:eastAsia="en-AU"/>
        </w:rPr>
        <w:lastRenderedPageBreak/>
        <w:t>In determining the</w:t>
      </w:r>
      <w:r w:rsidR="00D25288" w:rsidRPr="008722C4">
        <w:rPr>
          <w:lang w:eastAsia="en-AU"/>
        </w:rPr>
        <w:t xml:space="preserve"> aggregate forecast accredited capacity requirement</w:t>
      </w:r>
      <w:r w:rsidRPr="008722C4">
        <w:rPr>
          <w:lang w:eastAsia="en-AU"/>
        </w:rPr>
        <w:t xml:space="preserve"> </w:t>
      </w:r>
      <w:r w:rsidR="00D25288" w:rsidRPr="008722C4">
        <w:rPr>
          <w:lang w:eastAsia="en-AU"/>
        </w:rPr>
        <w:t xml:space="preserve">to meet the reliability standard, </w:t>
      </w:r>
      <w:r w:rsidR="00501EFE" w:rsidRPr="008722C4">
        <w:rPr>
          <w:lang w:eastAsia="en-AU"/>
        </w:rPr>
        <w:t>the Reliability Manager</w:t>
      </w:r>
      <w:r w:rsidR="004139B1" w:rsidRPr="008722C4">
        <w:rPr>
          <w:lang w:eastAsia="en-AU"/>
        </w:rPr>
        <w:t xml:space="preserve"> will be agnostic to the source of </w:t>
      </w:r>
      <w:r w:rsidR="00D25288" w:rsidRPr="008722C4">
        <w:rPr>
          <w:lang w:eastAsia="en-AU"/>
        </w:rPr>
        <w:t>accredited capacity</w:t>
      </w:r>
      <w:r w:rsidR="004139B1" w:rsidRPr="008722C4">
        <w:rPr>
          <w:lang w:eastAsia="en-AU"/>
        </w:rPr>
        <w:t xml:space="preserve">. </w:t>
      </w:r>
      <w:r w:rsidR="00D25288" w:rsidRPr="008722C4">
        <w:rPr>
          <w:lang w:eastAsia="en-AU"/>
        </w:rPr>
        <w:t>However, it is noted that should government utilise the option to require a certain percentage of capacity to be sourced from renewable sources, the Reliability Manager would need to specify the percentage of accredited capacity that must be contracted from a renewable source.</w:t>
      </w:r>
      <w:r w:rsidR="00D25288">
        <w:rPr>
          <w:lang w:eastAsia="en-AU"/>
        </w:rPr>
        <w:t xml:space="preserve"> </w:t>
      </w:r>
    </w:p>
    <w:p w14:paraId="18B46892" w14:textId="77777777" w:rsidR="00DC09AD" w:rsidRPr="002C0B0F" w:rsidRDefault="00DC09AD" w:rsidP="002C0B0F">
      <w:pPr>
        <w:pStyle w:val="Heading2"/>
      </w:pPr>
      <w:r w:rsidRPr="002C0B0F">
        <w:t xml:space="preserve"> </w:t>
      </w:r>
      <w:bookmarkStart w:id="11" w:name="_Toc59188466"/>
      <w:r w:rsidRPr="002C0B0F">
        <w:t>Allocating capacity requirements to retailers</w:t>
      </w:r>
      <w:bookmarkEnd w:id="11"/>
    </w:p>
    <w:p w14:paraId="49F3A867" w14:textId="7816E710" w:rsidR="00607438" w:rsidRDefault="00DC09AD" w:rsidP="00DC09AD">
      <w:pPr>
        <w:rPr>
          <w:lang w:eastAsia="en-AU"/>
        </w:rPr>
      </w:pPr>
      <w:r>
        <w:rPr>
          <w:lang w:eastAsia="en-AU"/>
        </w:rPr>
        <w:t xml:space="preserve">Once the </w:t>
      </w:r>
      <w:r w:rsidR="00EF66E2">
        <w:rPr>
          <w:lang w:eastAsia="en-AU"/>
        </w:rPr>
        <w:t xml:space="preserve">total </w:t>
      </w:r>
      <w:r w:rsidR="00EF4253">
        <w:rPr>
          <w:lang w:eastAsia="en-AU"/>
        </w:rPr>
        <w:t>accredited</w:t>
      </w:r>
      <w:r>
        <w:rPr>
          <w:lang w:eastAsia="en-AU"/>
        </w:rPr>
        <w:t xml:space="preserve"> capacity requirement</w:t>
      </w:r>
      <w:r w:rsidR="00EF4253">
        <w:rPr>
          <w:lang w:eastAsia="en-AU"/>
        </w:rPr>
        <w:t xml:space="preserve"> has been determined</w:t>
      </w:r>
      <w:r>
        <w:rPr>
          <w:lang w:eastAsia="en-AU"/>
        </w:rPr>
        <w:t xml:space="preserve">, </w:t>
      </w:r>
      <w:r w:rsidR="00EF4253">
        <w:rPr>
          <w:lang w:eastAsia="en-AU"/>
        </w:rPr>
        <w:t>the Reliability Manager</w:t>
      </w:r>
      <w:r>
        <w:rPr>
          <w:lang w:eastAsia="en-AU"/>
        </w:rPr>
        <w:t xml:space="preserve"> will need to allocate each retailer a share of the requirement for which </w:t>
      </w:r>
      <w:r w:rsidR="00EF4253">
        <w:rPr>
          <w:lang w:eastAsia="en-AU"/>
        </w:rPr>
        <w:t>they</w:t>
      </w:r>
      <w:r>
        <w:rPr>
          <w:lang w:eastAsia="en-AU"/>
        </w:rPr>
        <w:t xml:space="preserve"> will be accountable</w:t>
      </w:r>
      <w:r w:rsidR="00EF66E2">
        <w:rPr>
          <w:lang w:eastAsia="en-AU"/>
        </w:rPr>
        <w:t xml:space="preserve"> or obligated to provide</w:t>
      </w:r>
      <w:r>
        <w:rPr>
          <w:lang w:eastAsia="en-AU"/>
        </w:rPr>
        <w:t xml:space="preserve">. Retailers can meet their </w:t>
      </w:r>
      <w:r w:rsidR="00D11872">
        <w:rPr>
          <w:lang w:eastAsia="en-AU"/>
        </w:rPr>
        <w:t>capacity obligation</w:t>
      </w:r>
      <w:r>
        <w:rPr>
          <w:lang w:eastAsia="en-AU"/>
        </w:rPr>
        <w:t xml:space="preserve"> directly through contracting with accredited capacity </w:t>
      </w:r>
      <w:r w:rsidR="007E20A7">
        <w:rPr>
          <w:lang w:eastAsia="en-AU"/>
        </w:rPr>
        <w:t xml:space="preserve">providers </w:t>
      </w:r>
      <w:r>
        <w:rPr>
          <w:lang w:eastAsia="en-AU"/>
        </w:rPr>
        <w:t xml:space="preserve">or by paying the Reliability Manager to procure </w:t>
      </w:r>
      <w:r w:rsidR="005B5FF5">
        <w:rPr>
          <w:lang w:eastAsia="en-AU"/>
        </w:rPr>
        <w:t xml:space="preserve">accredited </w:t>
      </w:r>
      <w:r>
        <w:rPr>
          <w:lang w:eastAsia="en-AU"/>
        </w:rPr>
        <w:t>capacity or a combination</w:t>
      </w:r>
      <w:r w:rsidR="00EF4253">
        <w:rPr>
          <w:lang w:eastAsia="en-AU"/>
        </w:rPr>
        <w:t xml:space="preserve"> of these two methods</w:t>
      </w:r>
      <w:r>
        <w:rPr>
          <w:lang w:eastAsia="en-AU"/>
        </w:rPr>
        <w:t>.</w:t>
      </w:r>
      <w:r w:rsidR="00735A05">
        <w:rPr>
          <w:lang w:eastAsia="en-AU"/>
        </w:rPr>
        <w:t xml:space="preserve"> </w:t>
      </w:r>
    </w:p>
    <w:p w14:paraId="5C1C6CB3" w14:textId="64E49F01" w:rsidR="00DC09AD" w:rsidRDefault="00735A05" w:rsidP="00DC09AD">
      <w:pPr>
        <w:rPr>
          <w:lang w:eastAsia="en-AU"/>
        </w:rPr>
      </w:pPr>
      <w:r>
        <w:rPr>
          <w:lang w:eastAsia="en-AU"/>
        </w:rPr>
        <w:t>If retailers are required to meet a percentage of their demand from renewable technology</w:t>
      </w:r>
      <w:r w:rsidR="007E20A7">
        <w:rPr>
          <w:lang w:eastAsia="en-AU"/>
        </w:rPr>
        <w:t xml:space="preserve"> (if government utilises the </w:t>
      </w:r>
      <w:r w:rsidR="00607438">
        <w:rPr>
          <w:lang w:eastAsia="en-AU"/>
        </w:rPr>
        <w:t xml:space="preserve">policy </w:t>
      </w:r>
      <w:r w:rsidR="007E20A7">
        <w:rPr>
          <w:lang w:eastAsia="en-AU"/>
        </w:rPr>
        <w:t>option to require a percentage of capacity to be from renewable sources)</w:t>
      </w:r>
      <w:r>
        <w:rPr>
          <w:lang w:eastAsia="en-AU"/>
        </w:rPr>
        <w:t xml:space="preserve">, </w:t>
      </w:r>
      <w:r w:rsidR="007E20A7">
        <w:rPr>
          <w:lang w:eastAsia="en-AU"/>
        </w:rPr>
        <w:t xml:space="preserve">retailers </w:t>
      </w:r>
      <w:r>
        <w:rPr>
          <w:lang w:eastAsia="en-AU"/>
        </w:rPr>
        <w:t xml:space="preserve">will </w:t>
      </w:r>
      <w:r w:rsidR="00913906">
        <w:rPr>
          <w:lang w:eastAsia="en-AU"/>
        </w:rPr>
        <w:t xml:space="preserve">also </w:t>
      </w:r>
      <w:r>
        <w:rPr>
          <w:lang w:eastAsia="en-AU"/>
        </w:rPr>
        <w:t>need to contract for that amount of accredited renewable capacity at a minimum</w:t>
      </w:r>
      <w:r w:rsidR="007E20A7">
        <w:rPr>
          <w:lang w:eastAsia="en-AU"/>
        </w:rPr>
        <w:t xml:space="preserve"> within their allocated obligations</w:t>
      </w:r>
      <w:r>
        <w:rPr>
          <w:lang w:eastAsia="en-AU"/>
        </w:rPr>
        <w:t>.</w:t>
      </w:r>
      <w:r w:rsidR="00607438">
        <w:rPr>
          <w:lang w:eastAsia="en-AU"/>
        </w:rPr>
        <w:t xml:space="preserve"> If this option is not utilised by government, the accredited capacity requirement will be technology neutral and retailers will be able to meet their obligation using any form of accredited capacity. </w:t>
      </w:r>
    </w:p>
    <w:p w14:paraId="4982E9B1" w14:textId="59CC976A" w:rsidR="00DC09AD" w:rsidRDefault="00DC09AD" w:rsidP="00DC09AD">
      <w:pPr>
        <w:rPr>
          <w:lang w:eastAsia="en-AU"/>
        </w:rPr>
      </w:pPr>
      <w:r>
        <w:rPr>
          <w:lang w:eastAsia="en-AU"/>
        </w:rPr>
        <w:t xml:space="preserve">In order to determine each </w:t>
      </w:r>
      <w:r w:rsidR="00EF4253">
        <w:rPr>
          <w:lang w:eastAsia="en-AU"/>
        </w:rPr>
        <w:t>r</w:t>
      </w:r>
      <w:r>
        <w:rPr>
          <w:lang w:eastAsia="en-AU"/>
        </w:rPr>
        <w:t>etailer’s allocation or share of the total requirement for accredited capacity</w:t>
      </w:r>
      <w:r w:rsidR="00451CF3">
        <w:rPr>
          <w:lang w:eastAsia="en-AU"/>
        </w:rPr>
        <w:t>,</w:t>
      </w:r>
      <w:r>
        <w:rPr>
          <w:lang w:eastAsia="en-AU"/>
        </w:rPr>
        <w:t xml:space="preserve"> the Reliability Manager will assign accountability for that capacity between </w:t>
      </w:r>
      <w:r w:rsidR="00451CF3">
        <w:rPr>
          <w:lang w:eastAsia="en-AU"/>
        </w:rPr>
        <w:t>r</w:t>
      </w:r>
      <w:r>
        <w:rPr>
          <w:lang w:eastAsia="en-AU"/>
        </w:rPr>
        <w:t>etailers</w:t>
      </w:r>
      <w:r w:rsidR="00451CF3">
        <w:rPr>
          <w:lang w:eastAsia="en-AU"/>
        </w:rPr>
        <w:t xml:space="preserve">, </w:t>
      </w:r>
      <w:r>
        <w:rPr>
          <w:lang w:eastAsia="en-AU"/>
        </w:rPr>
        <w:t xml:space="preserve">expressed in terms of a MW obligation to each </w:t>
      </w:r>
      <w:r w:rsidR="008F29F6">
        <w:rPr>
          <w:lang w:eastAsia="en-AU"/>
        </w:rPr>
        <w:t>r</w:t>
      </w:r>
      <w:r>
        <w:rPr>
          <w:lang w:eastAsia="en-AU"/>
        </w:rPr>
        <w:t>etailer for each year</w:t>
      </w:r>
      <w:r w:rsidR="00451CF3">
        <w:rPr>
          <w:lang w:eastAsia="en-AU"/>
        </w:rPr>
        <w:t>:</w:t>
      </w:r>
      <w:r w:rsidR="007E20A7">
        <w:rPr>
          <w:rStyle w:val="FootnoteReference"/>
          <w:lang w:eastAsia="en-AU"/>
        </w:rPr>
        <w:footnoteReference w:id="11"/>
      </w:r>
    </w:p>
    <w:p w14:paraId="3E4BFCE6" w14:textId="7F40934E" w:rsidR="00DC09AD" w:rsidRDefault="00DC09AD" w:rsidP="00592571">
      <w:pPr>
        <w:pStyle w:val="Tablebulletlistlevel1"/>
        <w:numPr>
          <w:ilvl w:val="0"/>
          <w:numId w:val="46"/>
        </w:numPr>
        <w:spacing w:after="120"/>
        <w:rPr>
          <w:lang w:eastAsia="en-AU"/>
        </w:rPr>
      </w:pPr>
      <w:r>
        <w:rPr>
          <w:lang w:eastAsia="en-AU"/>
        </w:rPr>
        <w:t xml:space="preserve">Assess each </w:t>
      </w:r>
      <w:r w:rsidR="00451CF3">
        <w:rPr>
          <w:lang w:eastAsia="en-AU"/>
        </w:rPr>
        <w:t>r</w:t>
      </w:r>
      <w:r>
        <w:rPr>
          <w:lang w:eastAsia="en-AU"/>
        </w:rPr>
        <w:t>etailer’s demand in the at</w:t>
      </w:r>
      <w:r w:rsidR="00451CF3">
        <w:rPr>
          <w:lang w:eastAsia="en-AU"/>
        </w:rPr>
        <w:t>-</w:t>
      </w:r>
      <w:r>
        <w:rPr>
          <w:lang w:eastAsia="en-AU"/>
        </w:rPr>
        <w:t xml:space="preserve">risk hours </w:t>
      </w:r>
      <w:r w:rsidR="001D02F4">
        <w:rPr>
          <w:lang w:eastAsia="en-AU"/>
        </w:rPr>
        <w:t>in the system as a whole</w:t>
      </w:r>
    </w:p>
    <w:p w14:paraId="0431D5FB" w14:textId="77777777" w:rsidR="00DC09AD" w:rsidRDefault="00451CF3" w:rsidP="00592571">
      <w:pPr>
        <w:pStyle w:val="Tablebulletlistlevel1"/>
        <w:numPr>
          <w:ilvl w:val="0"/>
          <w:numId w:val="46"/>
        </w:numPr>
        <w:spacing w:after="120"/>
        <w:rPr>
          <w:lang w:eastAsia="en-AU"/>
        </w:rPr>
      </w:pPr>
      <w:r>
        <w:rPr>
          <w:lang w:eastAsia="en-AU"/>
        </w:rPr>
        <w:t>Find the average of each r</w:t>
      </w:r>
      <w:r w:rsidR="00DC09AD">
        <w:rPr>
          <w:lang w:eastAsia="en-AU"/>
        </w:rPr>
        <w:t>etailer’s demand in</w:t>
      </w:r>
      <w:r>
        <w:rPr>
          <w:lang w:eastAsia="en-AU"/>
        </w:rPr>
        <w:t xml:space="preserve"> Step 1</w:t>
      </w:r>
      <w:r w:rsidR="00DC09AD">
        <w:rPr>
          <w:lang w:eastAsia="en-AU"/>
        </w:rPr>
        <w:t xml:space="preserve"> across all at risk hours</w:t>
      </w:r>
    </w:p>
    <w:p w14:paraId="06EAAA2C" w14:textId="22541BE9" w:rsidR="00DC09AD" w:rsidRDefault="00DC09AD" w:rsidP="00592571">
      <w:pPr>
        <w:pStyle w:val="Tablebulletlistlevel1"/>
        <w:numPr>
          <w:ilvl w:val="0"/>
          <w:numId w:val="46"/>
        </w:numPr>
        <w:rPr>
          <w:lang w:eastAsia="en-AU"/>
        </w:rPr>
      </w:pPr>
      <w:r>
        <w:rPr>
          <w:lang w:eastAsia="en-AU"/>
        </w:rPr>
        <w:t xml:space="preserve">Set each </w:t>
      </w:r>
      <w:r w:rsidR="00451CF3">
        <w:rPr>
          <w:lang w:eastAsia="en-AU"/>
        </w:rPr>
        <w:t>r</w:t>
      </w:r>
      <w:r>
        <w:rPr>
          <w:lang w:eastAsia="en-AU"/>
        </w:rPr>
        <w:t>etailer</w:t>
      </w:r>
      <w:r w:rsidR="00451CF3">
        <w:rPr>
          <w:lang w:eastAsia="en-AU"/>
        </w:rPr>
        <w:t>’</w:t>
      </w:r>
      <w:r>
        <w:rPr>
          <w:lang w:eastAsia="en-AU"/>
        </w:rPr>
        <w:t xml:space="preserve">s share of accredited capacity </w:t>
      </w:r>
      <w:r w:rsidR="00451CF3">
        <w:rPr>
          <w:lang w:eastAsia="en-AU"/>
        </w:rPr>
        <w:t xml:space="preserve">in proportion to their share of total </w:t>
      </w:r>
      <w:r>
        <w:rPr>
          <w:lang w:eastAsia="en-AU"/>
        </w:rPr>
        <w:t xml:space="preserve">average </w:t>
      </w:r>
      <w:r w:rsidR="0066032C">
        <w:rPr>
          <w:lang w:eastAsia="en-AU"/>
        </w:rPr>
        <w:t xml:space="preserve">demand across all retailers </w:t>
      </w:r>
      <w:r>
        <w:rPr>
          <w:lang w:eastAsia="en-AU"/>
        </w:rPr>
        <w:t xml:space="preserve">(from </w:t>
      </w:r>
      <w:r w:rsidR="0066032C">
        <w:rPr>
          <w:lang w:eastAsia="en-AU"/>
        </w:rPr>
        <w:t>S</w:t>
      </w:r>
      <w:r>
        <w:rPr>
          <w:lang w:eastAsia="en-AU"/>
        </w:rPr>
        <w:t xml:space="preserve">tep </w:t>
      </w:r>
      <w:r w:rsidR="0066032C">
        <w:rPr>
          <w:lang w:eastAsia="en-AU"/>
        </w:rPr>
        <w:t>2</w:t>
      </w:r>
      <w:r>
        <w:rPr>
          <w:lang w:eastAsia="en-AU"/>
        </w:rPr>
        <w:t>)</w:t>
      </w:r>
    </w:p>
    <w:p w14:paraId="0FBF8A32" w14:textId="77777777" w:rsidR="001E5398" w:rsidRDefault="001E5398" w:rsidP="001E5398">
      <w:pPr>
        <w:pStyle w:val="Tablebulletlistlevel1"/>
        <w:numPr>
          <w:ilvl w:val="0"/>
          <w:numId w:val="0"/>
        </w:numPr>
        <w:rPr>
          <w:lang w:eastAsia="en-AU"/>
        </w:rPr>
      </w:pPr>
    </w:p>
    <w:p w14:paraId="4FD97280" w14:textId="4E1C2CCB" w:rsidR="00DC09AD" w:rsidRDefault="00DC09AD" w:rsidP="00DC09AD">
      <w:pPr>
        <w:rPr>
          <w:lang w:eastAsia="en-AU"/>
        </w:rPr>
      </w:pPr>
      <w:r>
        <w:rPr>
          <w:lang w:eastAsia="en-AU"/>
        </w:rPr>
        <w:t xml:space="preserve">The Reliability Manager will advise each retailer of </w:t>
      </w:r>
      <w:r w:rsidR="00C90685">
        <w:rPr>
          <w:lang w:eastAsia="en-AU"/>
        </w:rPr>
        <w:t>its</w:t>
      </w:r>
      <w:r>
        <w:rPr>
          <w:lang w:eastAsia="en-AU"/>
        </w:rPr>
        <w:t xml:space="preserve"> allocation of the forecast </w:t>
      </w:r>
      <w:r w:rsidR="0066032C">
        <w:rPr>
          <w:lang w:eastAsia="en-AU"/>
        </w:rPr>
        <w:t>accredited</w:t>
      </w:r>
      <w:r>
        <w:rPr>
          <w:lang w:eastAsia="en-AU"/>
        </w:rPr>
        <w:t xml:space="preserve"> capacity requirement </w:t>
      </w:r>
      <w:r w:rsidR="00C90685">
        <w:rPr>
          <w:lang w:eastAsia="en-AU"/>
        </w:rPr>
        <w:t>it</w:t>
      </w:r>
      <w:r>
        <w:rPr>
          <w:lang w:eastAsia="en-AU"/>
        </w:rPr>
        <w:t xml:space="preserve"> must</w:t>
      </w:r>
      <w:r w:rsidR="00C90685">
        <w:rPr>
          <w:lang w:eastAsia="en-AU"/>
        </w:rPr>
        <w:t xml:space="preserve"> meet</w:t>
      </w:r>
      <w:r>
        <w:rPr>
          <w:lang w:eastAsia="en-AU"/>
        </w:rPr>
        <w:t xml:space="preserve"> (at a minimum). Each retailer will need to meet its </w:t>
      </w:r>
      <w:r w:rsidR="0066032C">
        <w:rPr>
          <w:lang w:eastAsia="en-AU"/>
        </w:rPr>
        <w:t>capacity obligation</w:t>
      </w:r>
      <w:r>
        <w:rPr>
          <w:lang w:eastAsia="en-AU"/>
        </w:rPr>
        <w:t xml:space="preserve"> by entering into contract(s) for </w:t>
      </w:r>
      <w:r w:rsidR="00330508">
        <w:rPr>
          <w:lang w:eastAsia="en-AU"/>
        </w:rPr>
        <w:t xml:space="preserve">or building its own </w:t>
      </w:r>
      <w:r>
        <w:rPr>
          <w:lang w:eastAsia="en-AU"/>
        </w:rPr>
        <w:t>capacity</w:t>
      </w:r>
      <w:r w:rsidR="0006730F">
        <w:rPr>
          <w:lang w:eastAsia="en-AU"/>
        </w:rPr>
        <w:t xml:space="preserve"> or requesting that the Reliability M</w:t>
      </w:r>
      <w:r w:rsidR="00DD7C0F">
        <w:rPr>
          <w:lang w:eastAsia="en-AU"/>
        </w:rPr>
        <w:t>anager</w:t>
      </w:r>
      <w:r w:rsidR="00D11E9E">
        <w:rPr>
          <w:lang w:eastAsia="en-AU"/>
        </w:rPr>
        <w:t xml:space="preserve"> procure capacity on their behalf</w:t>
      </w:r>
      <w:r>
        <w:rPr>
          <w:lang w:eastAsia="en-AU"/>
        </w:rPr>
        <w:t xml:space="preserve">. </w:t>
      </w:r>
      <w:r w:rsidR="00D11872">
        <w:rPr>
          <w:lang w:eastAsia="en-AU"/>
        </w:rPr>
        <w:t xml:space="preserve">Although the choice of how retailers might meet their obligation may evolve over time, initially most retailers are expected to choose to contract directly with </w:t>
      </w:r>
      <w:r w:rsidR="00607438">
        <w:rPr>
          <w:lang w:eastAsia="en-AU"/>
        </w:rPr>
        <w:t xml:space="preserve">capacity providers </w:t>
      </w:r>
      <w:r w:rsidR="00D11872">
        <w:rPr>
          <w:lang w:eastAsia="en-AU"/>
        </w:rPr>
        <w:t xml:space="preserve">and typically through </w:t>
      </w:r>
      <w:r w:rsidR="00607438">
        <w:rPr>
          <w:lang w:eastAsia="en-AU"/>
        </w:rPr>
        <w:t>PPAs</w:t>
      </w:r>
      <w:r w:rsidR="00D11872">
        <w:rPr>
          <w:lang w:eastAsia="en-AU"/>
        </w:rPr>
        <w:t xml:space="preserve"> or similar contractual arrangements. It is also expected that initially retailers may contract with new entrant generation</w:t>
      </w:r>
      <w:r w:rsidR="00607438">
        <w:rPr>
          <w:lang w:eastAsia="en-AU"/>
        </w:rPr>
        <w:t xml:space="preserve"> including intermittent generation</w:t>
      </w:r>
      <w:r w:rsidR="00D11872">
        <w:rPr>
          <w:lang w:eastAsia="en-AU"/>
        </w:rPr>
        <w:t xml:space="preserve">, but they will also need to contract with </w:t>
      </w:r>
      <w:r w:rsidR="00607438">
        <w:rPr>
          <w:lang w:eastAsia="en-AU"/>
        </w:rPr>
        <w:t xml:space="preserve">controllable </w:t>
      </w:r>
      <w:r w:rsidR="00D11872">
        <w:rPr>
          <w:lang w:eastAsia="en-AU"/>
        </w:rPr>
        <w:t xml:space="preserve">plant to firm supply and cover times of low </w:t>
      </w:r>
      <w:r w:rsidR="00607438">
        <w:rPr>
          <w:lang w:eastAsia="en-AU"/>
        </w:rPr>
        <w:t xml:space="preserve">intermittent </w:t>
      </w:r>
      <w:r w:rsidR="00DC2A49">
        <w:rPr>
          <w:lang w:eastAsia="en-AU"/>
        </w:rPr>
        <w:t xml:space="preserve">energy </w:t>
      </w:r>
      <w:r w:rsidR="00D11872">
        <w:rPr>
          <w:lang w:eastAsia="en-AU"/>
        </w:rPr>
        <w:t>input</w:t>
      </w:r>
      <w:r w:rsidR="001D02F4">
        <w:rPr>
          <w:lang w:eastAsia="en-AU"/>
        </w:rPr>
        <w:t xml:space="preserve"> (in the absence of very large scale storage)</w:t>
      </w:r>
      <w:r w:rsidR="00D11872">
        <w:rPr>
          <w:lang w:eastAsia="en-AU"/>
        </w:rPr>
        <w:t xml:space="preserve">. Retailers are likely to need to have a range of contracts in order to meet their </w:t>
      </w:r>
      <w:r w:rsidR="00C90685">
        <w:rPr>
          <w:lang w:eastAsia="en-AU"/>
        </w:rPr>
        <w:t xml:space="preserve">customers’ </w:t>
      </w:r>
      <w:r w:rsidR="00D11872">
        <w:rPr>
          <w:lang w:eastAsia="en-AU"/>
        </w:rPr>
        <w:t>energy needs and their obligation for accredited capacity</w:t>
      </w:r>
      <w:r>
        <w:rPr>
          <w:lang w:eastAsia="en-AU"/>
        </w:rPr>
        <w:t>.</w:t>
      </w:r>
    </w:p>
    <w:p w14:paraId="640A67B3" w14:textId="130BADB3" w:rsidR="00DC09AD" w:rsidRDefault="0066032C" w:rsidP="007A0699">
      <w:pPr>
        <w:rPr>
          <w:lang w:eastAsia="en-AU"/>
        </w:rPr>
      </w:pPr>
      <w:r>
        <w:rPr>
          <w:lang w:eastAsia="en-AU"/>
        </w:rPr>
        <w:t xml:space="preserve">Retailers will be required to provide </w:t>
      </w:r>
      <w:r w:rsidR="00CD5180">
        <w:rPr>
          <w:lang w:eastAsia="en-AU"/>
        </w:rPr>
        <w:t>sufficient</w:t>
      </w:r>
      <w:r>
        <w:rPr>
          <w:lang w:eastAsia="en-AU"/>
        </w:rPr>
        <w:t xml:space="preserve"> </w:t>
      </w:r>
      <w:r w:rsidR="00CD5180">
        <w:rPr>
          <w:lang w:eastAsia="en-AU"/>
        </w:rPr>
        <w:t xml:space="preserve">detail on their procured capacity to enable the Reliability Manager </w:t>
      </w:r>
      <w:r w:rsidR="00115C6B">
        <w:rPr>
          <w:lang w:eastAsia="en-AU"/>
        </w:rPr>
        <w:t xml:space="preserve">to validate that they have met their obligation. </w:t>
      </w:r>
      <w:r w:rsidR="00B72A11">
        <w:rPr>
          <w:lang w:eastAsia="en-AU"/>
        </w:rPr>
        <w:t xml:space="preserve">This should be provided by the end of the three month window for undertaking procurement (refer </w:t>
      </w:r>
      <w:r w:rsidR="00592571">
        <w:rPr>
          <w:lang w:eastAsia="en-AU"/>
        </w:rPr>
        <w:t>to Figure 1</w:t>
      </w:r>
      <w:r w:rsidR="00B72A11">
        <w:rPr>
          <w:lang w:eastAsia="en-AU"/>
        </w:rPr>
        <w:t>).</w:t>
      </w:r>
      <w:r w:rsidR="009C3F1D">
        <w:rPr>
          <w:lang w:eastAsia="en-AU"/>
        </w:rPr>
        <w:t xml:space="preserve"> </w:t>
      </w:r>
    </w:p>
    <w:p w14:paraId="7E3917A3" w14:textId="77777777" w:rsidR="00DC09AD" w:rsidRDefault="00DC09AD" w:rsidP="007A0699">
      <w:pPr>
        <w:pStyle w:val="Heading2"/>
        <w:rPr>
          <w:lang w:eastAsia="en-AU"/>
        </w:rPr>
      </w:pPr>
      <w:bookmarkStart w:id="12" w:name="_Toc59188467"/>
      <w:r>
        <w:rPr>
          <w:lang w:eastAsia="en-AU"/>
        </w:rPr>
        <w:t>Ex-post review and reconciliation</w:t>
      </w:r>
      <w:bookmarkEnd w:id="12"/>
    </w:p>
    <w:p w14:paraId="6F4CD1B5" w14:textId="2A9A5404" w:rsidR="00330508" w:rsidRDefault="00C34206" w:rsidP="00DC09AD">
      <w:pPr>
        <w:rPr>
          <w:lang w:eastAsia="en-AU"/>
        </w:rPr>
      </w:pPr>
      <w:r>
        <w:rPr>
          <w:lang w:eastAsia="en-AU"/>
        </w:rPr>
        <w:t xml:space="preserve">The proposed design intends </w:t>
      </w:r>
      <w:r w:rsidR="007A0699">
        <w:rPr>
          <w:lang w:eastAsia="en-AU"/>
        </w:rPr>
        <w:t xml:space="preserve">to create a balance between incentives to contract accurately in advance, but also to facilitate efficient use of existing plant. </w:t>
      </w:r>
      <w:r w:rsidR="00330508">
        <w:rPr>
          <w:lang w:eastAsia="en-AU"/>
        </w:rPr>
        <w:t>Accordingly, e</w:t>
      </w:r>
      <w:r w:rsidR="00DC09AD">
        <w:rPr>
          <w:lang w:eastAsia="en-AU"/>
        </w:rPr>
        <w:t xml:space="preserve">ach year the Reliability Manager will review </w:t>
      </w:r>
      <w:r w:rsidR="00DC09AD">
        <w:rPr>
          <w:lang w:eastAsia="en-AU"/>
        </w:rPr>
        <w:lastRenderedPageBreak/>
        <w:t>whether sufficient actual physical capacity</w:t>
      </w:r>
      <w:r w:rsidR="000D53B2">
        <w:rPr>
          <w:lang w:eastAsia="en-AU"/>
        </w:rPr>
        <w:t xml:space="preserve"> (MW)</w:t>
      </w:r>
      <w:r w:rsidR="00DC09AD">
        <w:rPr>
          <w:lang w:eastAsia="en-AU"/>
        </w:rPr>
        <w:t xml:space="preserve"> was in place and whether each </w:t>
      </w:r>
      <w:r w:rsidR="00330508">
        <w:rPr>
          <w:lang w:eastAsia="en-AU"/>
        </w:rPr>
        <w:t>r</w:t>
      </w:r>
      <w:r w:rsidR="00DC09AD">
        <w:rPr>
          <w:lang w:eastAsia="en-AU"/>
        </w:rPr>
        <w:t xml:space="preserve">etailer met their </w:t>
      </w:r>
      <w:r w:rsidR="00D11872">
        <w:rPr>
          <w:lang w:eastAsia="en-AU"/>
        </w:rPr>
        <w:t xml:space="preserve">capacity </w:t>
      </w:r>
      <w:r w:rsidR="00DC09AD">
        <w:rPr>
          <w:lang w:eastAsia="en-AU"/>
        </w:rPr>
        <w:t>obligation. This review is not intended to be a punitive review</w:t>
      </w:r>
      <w:r w:rsidR="00330508">
        <w:rPr>
          <w:lang w:eastAsia="en-AU"/>
        </w:rPr>
        <w:t xml:space="preserve">; rather it is </w:t>
      </w:r>
      <w:r w:rsidR="00DC09AD">
        <w:rPr>
          <w:lang w:eastAsia="en-AU"/>
        </w:rPr>
        <w:t xml:space="preserve">designed to ensure each </w:t>
      </w:r>
      <w:r w:rsidR="00330508">
        <w:rPr>
          <w:lang w:eastAsia="en-AU"/>
        </w:rPr>
        <w:t>r</w:t>
      </w:r>
      <w:r w:rsidR="00DC09AD">
        <w:rPr>
          <w:lang w:eastAsia="en-AU"/>
        </w:rPr>
        <w:t xml:space="preserve">etailer has, in practice, carried their allocated share of costs of bringing capacity to market. Any </w:t>
      </w:r>
      <w:r w:rsidR="00330508">
        <w:rPr>
          <w:lang w:eastAsia="en-AU"/>
        </w:rPr>
        <w:t>r</w:t>
      </w:r>
      <w:r w:rsidR="00DC09AD">
        <w:rPr>
          <w:lang w:eastAsia="en-AU"/>
        </w:rPr>
        <w:t xml:space="preserve">etailer holding more accredited capacity than required will be obligated to offer it for sale to any </w:t>
      </w:r>
      <w:r w:rsidR="00330508">
        <w:rPr>
          <w:lang w:eastAsia="en-AU"/>
        </w:rPr>
        <w:t>r</w:t>
      </w:r>
      <w:r w:rsidR="00DC09AD">
        <w:rPr>
          <w:lang w:eastAsia="en-AU"/>
        </w:rPr>
        <w:t>etailer that is holding less than its requirement who will be obligated to buy it.</w:t>
      </w:r>
      <w:r w:rsidR="00830439">
        <w:rPr>
          <w:lang w:eastAsia="en-AU"/>
        </w:rPr>
        <w:t xml:space="preserve"> </w:t>
      </w:r>
    </w:p>
    <w:p w14:paraId="7115F294" w14:textId="79EC5CD1" w:rsidR="00D11872" w:rsidRDefault="00330508" w:rsidP="00DC09AD">
      <w:pPr>
        <w:rPr>
          <w:lang w:eastAsia="en-AU"/>
        </w:rPr>
      </w:pPr>
      <w:r>
        <w:rPr>
          <w:lang w:eastAsia="en-AU"/>
        </w:rPr>
        <w:t>T</w:t>
      </w:r>
      <w:r w:rsidR="00DC09AD">
        <w:rPr>
          <w:lang w:eastAsia="en-AU"/>
        </w:rPr>
        <w:t>his ex</w:t>
      </w:r>
      <w:r w:rsidR="001E5398">
        <w:rPr>
          <w:lang w:eastAsia="en-AU"/>
        </w:rPr>
        <w:t>-</w:t>
      </w:r>
      <w:r w:rsidR="00DC09AD">
        <w:rPr>
          <w:lang w:eastAsia="en-AU"/>
        </w:rPr>
        <w:t xml:space="preserve">post mechanism is designed </w:t>
      </w:r>
      <w:r w:rsidR="00C90685">
        <w:rPr>
          <w:lang w:eastAsia="en-AU"/>
        </w:rPr>
        <w:t xml:space="preserve">to </w:t>
      </w:r>
      <w:r w:rsidR="00DC09AD">
        <w:rPr>
          <w:lang w:eastAsia="en-AU"/>
        </w:rPr>
        <w:t xml:space="preserve">reduce the risk of hoarding </w:t>
      </w:r>
      <w:r w:rsidR="00575649">
        <w:rPr>
          <w:lang w:eastAsia="en-AU"/>
        </w:rPr>
        <w:t xml:space="preserve">surplus capacity </w:t>
      </w:r>
      <w:r w:rsidR="00DC09AD">
        <w:rPr>
          <w:lang w:eastAsia="en-AU"/>
        </w:rPr>
        <w:t xml:space="preserve">and </w:t>
      </w:r>
      <w:r>
        <w:rPr>
          <w:lang w:eastAsia="en-AU"/>
        </w:rPr>
        <w:t xml:space="preserve">to </w:t>
      </w:r>
      <w:r w:rsidR="00DC09AD">
        <w:rPr>
          <w:lang w:eastAsia="en-AU"/>
        </w:rPr>
        <w:t xml:space="preserve">provide assurance to large and small </w:t>
      </w:r>
      <w:r>
        <w:rPr>
          <w:lang w:eastAsia="en-AU"/>
        </w:rPr>
        <w:t>r</w:t>
      </w:r>
      <w:r w:rsidR="00DC09AD">
        <w:rPr>
          <w:lang w:eastAsia="en-AU"/>
        </w:rPr>
        <w:t>etailers that each will be pay</w:t>
      </w:r>
      <w:r>
        <w:rPr>
          <w:lang w:eastAsia="en-AU"/>
        </w:rPr>
        <w:t>ing</w:t>
      </w:r>
      <w:r w:rsidR="00DC09AD">
        <w:rPr>
          <w:lang w:eastAsia="en-AU"/>
        </w:rPr>
        <w:t xml:space="preserve"> their ‘fair’ share of the cost of bringing capacity to market.</w:t>
      </w:r>
      <w:r w:rsidR="00830439">
        <w:rPr>
          <w:lang w:eastAsia="en-AU"/>
        </w:rPr>
        <w:t xml:space="preserve"> </w:t>
      </w:r>
      <w:r w:rsidR="00A86BC5">
        <w:rPr>
          <w:lang w:eastAsia="en-AU"/>
        </w:rPr>
        <w:t xml:space="preserve">It is </w:t>
      </w:r>
      <w:r w:rsidR="00DC09AD">
        <w:rPr>
          <w:lang w:eastAsia="en-AU"/>
        </w:rPr>
        <w:t xml:space="preserve">also </w:t>
      </w:r>
      <w:r w:rsidR="00A86BC5">
        <w:rPr>
          <w:lang w:eastAsia="en-AU"/>
        </w:rPr>
        <w:t xml:space="preserve">intended to </w:t>
      </w:r>
      <w:r w:rsidR="00DC09AD">
        <w:rPr>
          <w:lang w:eastAsia="en-AU"/>
        </w:rPr>
        <w:t>be a</w:t>
      </w:r>
      <w:r w:rsidR="00A86BC5">
        <w:rPr>
          <w:lang w:eastAsia="en-AU"/>
        </w:rPr>
        <w:t>n</w:t>
      </w:r>
      <w:r w:rsidR="00DC09AD">
        <w:rPr>
          <w:lang w:eastAsia="en-AU"/>
        </w:rPr>
        <w:t xml:space="preserve"> incentive to avoid under providing which would amount to free-riding</w:t>
      </w:r>
      <w:r w:rsidR="00A86BC5">
        <w:rPr>
          <w:lang w:eastAsia="en-AU"/>
        </w:rPr>
        <w:t xml:space="preserve"> (</w:t>
      </w:r>
      <w:r w:rsidR="007E20A7">
        <w:rPr>
          <w:lang w:eastAsia="en-AU"/>
        </w:rPr>
        <w:t xml:space="preserve">that is, </w:t>
      </w:r>
      <w:r w:rsidR="00A86BC5">
        <w:rPr>
          <w:lang w:eastAsia="en-AU"/>
        </w:rPr>
        <w:t>relying on others to bear the cost of contracting capacity)</w:t>
      </w:r>
      <w:r w:rsidR="00DC09AD">
        <w:rPr>
          <w:lang w:eastAsia="en-AU"/>
        </w:rPr>
        <w:t>.</w:t>
      </w:r>
      <w:r w:rsidR="00A86BC5">
        <w:rPr>
          <w:lang w:eastAsia="en-AU"/>
        </w:rPr>
        <w:t xml:space="preserve"> </w:t>
      </w:r>
    </w:p>
    <w:p w14:paraId="2839563B" w14:textId="68A21731" w:rsidR="007E20A7" w:rsidRDefault="00A86BC5" w:rsidP="00DC09AD">
      <w:pPr>
        <w:rPr>
          <w:lang w:eastAsia="en-AU"/>
        </w:rPr>
      </w:pPr>
      <w:r>
        <w:rPr>
          <w:lang w:eastAsia="en-AU"/>
        </w:rPr>
        <w:t>I</w:t>
      </w:r>
      <w:r w:rsidR="00DC09AD">
        <w:rPr>
          <w:lang w:eastAsia="en-AU"/>
        </w:rPr>
        <w:t xml:space="preserve">f there is a net surplus and no </w:t>
      </w:r>
      <w:r>
        <w:rPr>
          <w:lang w:eastAsia="en-AU"/>
        </w:rPr>
        <w:t>r</w:t>
      </w:r>
      <w:r w:rsidR="00DC09AD">
        <w:rPr>
          <w:lang w:eastAsia="en-AU"/>
        </w:rPr>
        <w:t xml:space="preserve">etailers are in deficit there will be no adjustment required and each </w:t>
      </w:r>
      <w:r>
        <w:rPr>
          <w:lang w:eastAsia="en-AU"/>
        </w:rPr>
        <w:t>r</w:t>
      </w:r>
      <w:r w:rsidR="00DC09AD">
        <w:rPr>
          <w:lang w:eastAsia="en-AU"/>
        </w:rPr>
        <w:t>etailer will carry the cost of its own surplus</w:t>
      </w:r>
      <w:r>
        <w:rPr>
          <w:lang w:eastAsia="en-AU"/>
        </w:rPr>
        <w:t xml:space="preserve"> (providing an incentive to </w:t>
      </w:r>
      <w:r w:rsidR="000D53B2">
        <w:rPr>
          <w:lang w:eastAsia="en-AU"/>
        </w:rPr>
        <w:t xml:space="preserve">provide information required by </w:t>
      </w:r>
      <w:r>
        <w:rPr>
          <w:lang w:eastAsia="en-AU"/>
        </w:rPr>
        <w:t>the Reliability Manager to facilitate accurate demand forecasting</w:t>
      </w:r>
      <w:r w:rsidR="000D53B2">
        <w:rPr>
          <w:lang w:eastAsia="en-AU"/>
        </w:rPr>
        <w:t xml:space="preserve"> as discuss</w:t>
      </w:r>
      <w:r w:rsidR="00284BD6">
        <w:rPr>
          <w:lang w:eastAsia="en-AU"/>
        </w:rPr>
        <w:t>ed</w:t>
      </w:r>
      <w:r w:rsidR="000D53B2">
        <w:rPr>
          <w:lang w:eastAsia="en-AU"/>
        </w:rPr>
        <w:t xml:space="preserve"> in section 4.1</w:t>
      </w:r>
      <w:r w:rsidR="00D11872">
        <w:rPr>
          <w:lang w:eastAsia="en-AU"/>
        </w:rPr>
        <w:t>)</w:t>
      </w:r>
      <w:r>
        <w:rPr>
          <w:lang w:eastAsia="en-AU"/>
        </w:rPr>
        <w:t xml:space="preserve">. </w:t>
      </w:r>
    </w:p>
    <w:p w14:paraId="72081245" w14:textId="3109077E" w:rsidR="00DC09AD" w:rsidRDefault="00A86BC5" w:rsidP="00DC09AD">
      <w:pPr>
        <w:rPr>
          <w:lang w:eastAsia="en-AU"/>
        </w:rPr>
      </w:pPr>
      <w:r>
        <w:rPr>
          <w:lang w:eastAsia="en-AU"/>
        </w:rPr>
        <w:t xml:space="preserve">It is noted that </w:t>
      </w:r>
      <w:r w:rsidR="00DC09AD">
        <w:rPr>
          <w:lang w:eastAsia="en-AU"/>
        </w:rPr>
        <w:t>if there is a net surplus</w:t>
      </w:r>
      <w:r w:rsidR="007E20A7">
        <w:rPr>
          <w:lang w:eastAsia="en-AU"/>
        </w:rPr>
        <w:t xml:space="preserve"> (for example, because retailers have contracted more accredited capacity than needed)</w:t>
      </w:r>
      <w:r>
        <w:rPr>
          <w:lang w:eastAsia="en-AU"/>
        </w:rPr>
        <w:t>,</w:t>
      </w:r>
      <w:r w:rsidR="00DC09AD">
        <w:rPr>
          <w:lang w:eastAsia="en-AU"/>
        </w:rPr>
        <w:t xml:space="preserve"> the capacity price </w:t>
      </w:r>
      <w:r w:rsidR="007E20A7">
        <w:rPr>
          <w:lang w:eastAsia="en-AU"/>
        </w:rPr>
        <w:t>that will be used for ex-post transfers and capacity out</w:t>
      </w:r>
      <w:r w:rsidR="00E34FA0">
        <w:rPr>
          <w:lang w:eastAsia="en-AU"/>
        </w:rPr>
        <w:t>-</w:t>
      </w:r>
      <w:r w:rsidR="007E20A7">
        <w:rPr>
          <w:lang w:eastAsia="en-AU"/>
        </w:rPr>
        <w:t>of</w:t>
      </w:r>
      <w:r w:rsidR="00E34FA0">
        <w:rPr>
          <w:lang w:eastAsia="en-AU"/>
        </w:rPr>
        <w:t>-</w:t>
      </w:r>
      <w:r w:rsidR="007E20A7">
        <w:rPr>
          <w:lang w:eastAsia="en-AU"/>
        </w:rPr>
        <w:t xml:space="preserve">balance payments </w:t>
      </w:r>
      <w:r w:rsidR="00DC09AD">
        <w:rPr>
          <w:lang w:eastAsia="en-AU"/>
        </w:rPr>
        <w:t xml:space="preserve">will be low, </w:t>
      </w:r>
      <w:r>
        <w:rPr>
          <w:lang w:eastAsia="en-AU"/>
        </w:rPr>
        <w:t>but</w:t>
      </w:r>
      <w:r w:rsidR="00DC09AD">
        <w:rPr>
          <w:lang w:eastAsia="en-AU"/>
        </w:rPr>
        <w:t xml:space="preserve"> not necessarily zero</w:t>
      </w:r>
      <w:r w:rsidR="004278A8">
        <w:rPr>
          <w:lang w:eastAsia="en-AU"/>
        </w:rPr>
        <w:t>. This is because a</w:t>
      </w:r>
      <w:r w:rsidR="00DC09AD">
        <w:rPr>
          <w:lang w:eastAsia="en-AU"/>
        </w:rPr>
        <w:t xml:space="preserve">dditional capacity will have delivered higher reliability than the </w:t>
      </w:r>
      <w:r w:rsidR="004278A8">
        <w:rPr>
          <w:lang w:eastAsia="en-AU"/>
        </w:rPr>
        <w:t xml:space="preserve">reliability </w:t>
      </w:r>
      <w:r w:rsidR="00DC09AD">
        <w:rPr>
          <w:lang w:eastAsia="en-AU"/>
        </w:rPr>
        <w:t>standard</w:t>
      </w:r>
      <w:r w:rsidR="00FC3F0E">
        <w:rPr>
          <w:lang w:eastAsia="en-AU"/>
        </w:rPr>
        <w:t>,</w:t>
      </w:r>
      <w:r w:rsidR="00DC09AD">
        <w:rPr>
          <w:lang w:eastAsia="en-AU"/>
        </w:rPr>
        <w:t xml:space="preserve"> </w:t>
      </w:r>
      <w:r w:rsidR="004278A8">
        <w:rPr>
          <w:lang w:eastAsia="en-AU"/>
        </w:rPr>
        <w:t>providing an</w:t>
      </w:r>
      <w:r w:rsidR="00DC09AD">
        <w:rPr>
          <w:lang w:eastAsia="en-AU"/>
        </w:rPr>
        <w:t xml:space="preserve"> economic benefit to customers.</w:t>
      </w:r>
      <w:r>
        <w:rPr>
          <w:lang w:eastAsia="en-AU"/>
        </w:rPr>
        <w:t xml:space="preserve"> </w:t>
      </w:r>
      <w:r w:rsidR="007E20A7">
        <w:rPr>
          <w:lang w:eastAsia="en-AU"/>
        </w:rPr>
        <w:t xml:space="preserve">Retailers will bear the additional cost for contracting higher levels of capacity and will </w:t>
      </w:r>
      <w:r w:rsidR="004278A8">
        <w:rPr>
          <w:lang w:eastAsia="en-AU"/>
        </w:rPr>
        <w:t xml:space="preserve">ultimately </w:t>
      </w:r>
      <w:r w:rsidR="007E20A7">
        <w:rPr>
          <w:lang w:eastAsia="en-AU"/>
        </w:rPr>
        <w:t xml:space="preserve">seek to recover this cost from customers, subject to competitive pressures in the retail market. There will be no direct recovery of these additional costs in the wholesale market. </w:t>
      </w:r>
      <w:r>
        <w:rPr>
          <w:lang w:eastAsia="en-AU"/>
        </w:rPr>
        <w:t xml:space="preserve"> </w:t>
      </w:r>
    </w:p>
    <w:p w14:paraId="1DAA2701" w14:textId="18C7749B" w:rsidR="00FE7FBF" w:rsidRDefault="00FE7FBF" w:rsidP="00DC09AD">
      <w:pPr>
        <w:rPr>
          <w:lang w:eastAsia="en-AU"/>
        </w:rPr>
      </w:pPr>
      <w:r>
        <w:rPr>
          <w:lang w:eastAsia="en-AU"/>
        </w:rPr>
        <w:t xml:space="preserve">As noted </w:t>
      </w:r>
      <w:r w:rsidR="00C90685">
        <w:rPr>
          <w:lang w:eastAsia="en-AU"/>
        </w:rPr>
        <w:t>in</w:t>
      </w:r>
      <w:r w:rsidR="006372A1">
        <w:rPr>
          <w:lang w:eastAsia="en-AU"/>
        </w:rPr>
        <w:t xml:space="preserve"> </w:t>
      </w:r>
      <w:r w:rsidR="00485535">
        <w:rPr>
          <w:lang w:eastAsia="en-AU"/>
        </w:rPr>
        <w:t>s</w:t>
      </w:r>
      <w:r w:rsidR="006372A1">
        <w:rPr>
          <w:lang w:eastAsia="en-AU"/>
        </w:rPr>
        <w:t>ection 4.1, i</w:t>
      </w:r>
      <w:r w:rsidR="006372A1" w:rsidRPr="006372A1">
        <w:rPr>
          <w:lang w:eastAsia="en-AU"/>
        </w:rPr>
        <w:t xml:space="preserve">n the unusual event that the ex-post review determines that there was a net deficit in contracted capacity, retailers in deficit will pay the Reliability Manager for the amount of </w:t>
      </w:r>
      <w:r w:rsidR="007E20A7">
        <w:rPr>
          <w:lang w:eastAsia="en-AU"/>
        </w:rPr>
        <w:t xml:space="preserve">their individual </w:t>
      </w:r>
      <w:r w:rsidR="006372A1" w:rsidRPr="006372A1">
        <w:rPr>
          <w:lang w:eastAsia="en-AU"/>
        </w:rPr>
        <w:t>shortfall</w:t>
      </w:r>
      <w:r w:rsidR="007E20A7">
        <w:rPr>
          <w:lang w:eastAsia="en-AU"/>
        </w:rPr>
        <w:t>(s)</w:t>
      </w:r>
      <w:r w:rsidR="006372A1" w:rsidRPr="006372A1">
        <w:rPr>
          <w:lang w:eastAsia="en-AU"/>
        </w:rPr>
        <w:t xml:space="preserve"> at the capacity price plus a 10 per cent </w:t>
      </w:r>
      <w:r w:rsidR="006372A1">
        <w:rPr>
          <w:lang w:eastAsia="en-AU"/>
        </w:rPr>
        <w:t>premium</w:t>
      </w:r>
      <w:r w:rsidR="006372A1" w:rsidRPr="006372A1">
        <w:rPr>
          <w:lang w:eastAsia="en-AU"/>
        </w:rPr>
        <w:t xml:space="preserve">. </w:t>
      </w:r>
    </w:p>
    <w:p w14:paraId="3AB1E0AC" w14:textId="77777777" w:rsidR="00A86BC5" w:rsidRDefault="00DC09AD" w:rsidP="00A86BC5">
      <w:pPr>
        <w:rPr>
          <w:lang w:eastAsia="en-AU"/>
        </w:rPr>
      </w:pPr>
      <w:r>
        <w:rPr>
          <w:lang w:eastAsia="en-AU"/>
        </w:rPr>
        <w:t xml:space="preserve">The Reliability Manager will publish its assessment </w:t>
      </w:r>
      <w:r w:rsidR="00A86BC5">
        <w:rPr>
          <w:lang w:eastAsia="en-AU"/>
        </w:rPr>
        <w:t>two</w:t>
      </w:r>
      <w:r>
        <w:rPr>
          <w:lang w:eastAsia="en-AU"/>
        </w:rPr>
        <w:t xml:space="preserve"> months after the end of each capacity year.</w:t>
      </w:r>
      <w:r w:rsidR="00830439">
        <w:rPr>
          <w:lang w:eastAsia="en-AU"/>
        </w:rPr>
        <w:t xml:space="preserve"> </w:t>
      </w:r>
      <w:r>
        <w:rPr>
          <w:lang w:eastAsia="en-AU"/>
        </w:rPr>
        <w:t xml:space="preserve">Retailers will have a further </w:t>
      </w:r>
      <w:r w:rsidR="00A86BC5">
        <w:rPr>
          <w:lang w:eastAsia="en-AU"/>
        </w:rPr>
        <w:t>two</w:t>
      </w:r>
      <w:r>
        <w:rPr>
          <w:lang w:eastAsia="en-AU"/>
        </w:rPr>
        <w:t xml:space="preserve"> months to trade on a bilateral basis and notify the Reliability Manager of adjusted entitlements to accredited capacity. </w:t>
      </w:r>
      <w:r w:rsidR="00A86BC5">
        <w:rPr>
          <w:lang w:eastAsia="en-AU"/>
        </w:rPr>
        <w:t xml:space="preserve">Retailers can, however, trade between themselves at whatever price they agree at any time prior to the review if surplus and deficit positions </w:t>
      </w:r>
      <w:r w:rsidR="00830439">
        <w:rPr>
          <w:lang w:eastAsia="en-AU"/>
        </w:rPr>
        <w:t>are</w:t>
      </w:r>
      <w:r w:rsidR="00A86BC5">
        <w:rPr>
          <w:lang w:eastAsia="en-AU"/>
        </w:rPr>
        <w:t xml:space="preserve"> </w:t>
      </w:r>
      <w:r w:rsidR="00830439">
        <w:rPr>
          <w:lang w:eastAsia="en-AU"/>
        </w:rPr>
        <w:t>apparent</w:t>
      </w:r>
      <w:r w:rsidR="00A86BC5">
        <w:rPr>
          <w:lang w:eastAsia="en-AU"/>
        </w:rPr>
        <w:t xml:space="preserve">. </w:t>
      </w:r>
    </w:p>
    <w:p w14:paraId="5504E6D9" w14:textId="66F004BD" w:rsidR="00DC09AD" w:rsidRDefault="00DC09AD" w:rsidP="00DC09AD">
      <w:pPr>
        <w:rPr>
          <w:lang w:eastAsia="en-AU"/>
        </w:rPr>
      </w:pPr>
      <w:r>
        <w:rPr>
          <w:lang w:eastAsia="en-AU"/>
        </w:rPr>
        <w:t xml:space="preserve">After </w:t>
      </w:r>
      <w:r w:rsidR="00A86BC5">
        <w:rPr>
          <w:lang w:eastAsia="en-AU"/>
        </w:rPr>
        <w:t>four</w:t>
      </w:r>
      <w:r>
        <w:rPr>
          <w:lang w:eastAsia="en-AU"/>
        </w:rPr>
        <w:t xml:space="preserve"> months</w:t>
      </w:r>
      <w:r w:rsidR="00A86BC5">
        <w:rPr>
          <w:lang w:eastAsia="en-AU"/>
        </w:rPr>
        <w:t>,</w:t>
      </w:r>
      <w:r>
        <w:rPr>
          <w:lang w:eastAsia="en-AU"/>
        </w:rPr>
        <w:t xml:space="preserve"> the Reliability Manager will reassess </w:t>
      </w:r>
      <w:r w:rsidR="00D11872">
        <w:rPr>
          <w:lang w:eastAsia="en-AU"/>
        </w:rPr>
        <w:t>the</w:t>
      </w:r>
      <w:r>
        <w:rPr>
          <w:lang w:eastAsia="en-AU"/>
        </w:rPr>
        <w:t xml:space="preserve"> holding of </w:t>
      </w:r>
      <w:r w:rsidR="00A86BC5">
        <w:rPr>
          <w:lang w:eastAsia="en-AU"/>
        </w:rPr>
        <w:t xml:space="preserve">ex-post </w:t>
      </w:r>
      <w:r>
        <w:rPr>
          <w:lang w:eastAsia="en-AU"/>
        </w:rPr>
        <w:t xml:space="preserve">accredited capacity </w:t>
      </w:r>
      <w:r w:rsidR="00D11872">
        <w:rPr>
          <w:lang w:eastAsia="en-AU"/>
        </w:rPr>
        <w:t xml:space="preserve">by retailers </w:t>
      </w:r>
      <w:r>
        <w:rPr>
          <w:lang w:eastAsia="en-AU"/>
        </w:rPr>
        <w:t xml:space="preserve">and </w:t>
      </w:r>
      <w:r w:rsidR="00D11872">
        <w:rPr>
          <w:lang w:eastAsia="en-AU"/>
        </w:rPr>
        <w:t xml:space="preserve">where positions have not been reconciled, </w:t>
      </w:r>
      <w:r>
        <w:rPr>
          <w:lang w:eastAsia="en-AU"/>
        </w:rPr>
        <w:t xml:space="preserve">publish a notice of mandatory adjustments which will be added to </w:t>
      </w:r>
      <w:r w:rsidR="00D11872">
        <w:rPr>
          <w:lang w:eastAsia="en-AU"/>
        </w:rPr>
        <w:t xml:space="preserve">relevant party’s </w:t>
      </w:r>
      <w:r>
        <w:rPr>
          <w:lang w:eastAsia="en-AU"/>
        </w:rPr>
        <w:t>next settlement statement</w:t>
      </w:r>
      <w:r w:rsidR="00F82B6F">
        <w:rPr>
          <w:lang w:eastAsia="en-AU"/>
        </w:rPr>
        <w:t xml:space="preserve"> </w:t>
      </w:r>
      <w:r w:rsidR="0011688A">
        <w:rPr>
          <w:lang w:eastAsia="en-AU"/>
        </w:rPr>
        <w:t>(facilitated through a centralised Market Operator settlement arrangement)</w:t>
      </w:r>
      <w:r>
        <w:rPr>
          <w:lang w:eastAsia="en-AU"/>
        </w:rPr>
        <w:t>.</w:t>
      </w:r>
      <w:r w:rsidR="00A86BC5">
        <w:rPr>
          <w:lang w:eastAsia="en-AU"/>
        </w:rPr>
        <w:t xml:space="preserve"> Mandato</w:t>
      </w:r>
      <w:r w:rsidR="00830439">
        <w:rPr>
          <w:lang w:eastAsia="en-AU"/>
        </w:rPr>
        <w:t xml:space="preserve">ry adjustments will be processed using the published capacity price. </w:t>
      </w:r>
      <w:r w:rsidR="007E20A7">
        <w:rPr>
          <w:lang w:eastAsia="en-AU"/>
        </w:rPr>
        <w:t xml:space="preserve">These transactions will be cost neutral to the Market Operator as buyers and sellers will be balanced and the </w:t>
      </w:r>
      <w:r w:rsidR="00ED1A9A">
        <w:rPr>
          <w:lang w:eastAsia="en-AU"/>
        </w:rPr>
        <w:t xml:space="preserve">capacity </w:t>
      </w:r>
      <w:r w:rsidR="007E20A7">
        <w:rPr>
          <w:lang w:eastAsia="en-AU"/>
        </w:rPr>
        <w:t xml:space="preserve">price set by a calculation under the </w:t>
      </w:r>
      <w:r w:rsidR="00ED1A9A">
        <w:rPr>
          <w:lang w:eastAsia="en-AU"/>
        </w:rPr>
        <w:t>market rules.</w:t>
      </w:r>
    </w:p>
    <w:p w14:paraId="3818EDCC" w14:textId="611A7190" w:rsidR="00DC09AD" w:rsidRDefault="00DC09AD" w:rsidP="00467277">
      <w:pPr>
        <w:pStyle w:val="Heading2"/>
        <w:keepNext/>
        <w:rPr>
          <w:lang w:eastAsia="en-AU"/>
        </w:rPr>
      </w:pPr>
      <w:bookmarkStart w:id="13" w:name="_Toc59188468"/>
      <w:r>
        <w:rPr>
          <w:lang w:eastAsia="en-AU"/>
        </w:rPr>
        <w:t>Capacity price</w:t>
      </w:r>
      <w:bookmarkEnd w:id="13"/>
    </w:p>
    <w:p w14:paraId="2A1BC08F" w14:textId="6C7393D8" w:rsidR="000856A3" w:rsidRDefault="00DC09AD" w:rsidP="00467277">
      <w:pPr>
        <w:keepNext/>
        <w:rPr>
          <w:lang w:eastAsia="en-AU"/>
        </w:rPr>
      </w:pPr>
      <w:r>
        <w:rPr>
          <w:lang w:eastAsia="en-AU"/>
        </w:rPr>
        <w:t xml:space="preserve">The majority of capacity costs in the </w:t>
      </w:r>
      <w:r w:rsidR="00696DEA">
        <w:rPr>
          <w:lang w:eastAsia="en-AU"/>
        </w:rPr>
        <w:t xml:space="preserve">DKIS </w:t>
      </w:r>
      <w:r>
        <w:rPr>
          <w:lang w:eastAsia="en-AU"/>
        </w:rPr>
        <w:t xml:space="preserve">are expected to be recovered through contracts between </w:t>
      </w:r>
      <w:r w:rsidR="00485535">
        <w:rPr>
          <w:lang w:eastAsia="en-AU"/>
        </w:rPr>
        <w:t>retailers and capacity providers</w:t>
      </w:r>
      <w:r w:rsidR="006F7295">
        <w:rPr>
          <w:lang w:eastAsia="en-AU"/>
        </w:rPr>
        <w:t>; h</w:t>
      </w:r>
      <w:r w:rsidR="000856A3">
        <w:rPr>
          <w:lang w:eastAsia="en-AU"/>
        </w:rPr>
        <w:t>owever, e</w:t>
      </w:r>
      <w:r w:rsidR="003A4FC0">
        <w:rPr>
          <w:lang w:eastAsia="en-AU"/>
        </w:rPr>
        <w:t xml:space="preserve">ach year the Reliability Manager </w:t>
      </w:r>
      <w:r w:rsidR="00485535">
        <w:rPr>
          <w:lang w:eastAsia="en-AU"/>
        </w:rPr>
        <w:t xml:space="preserve">function </w:t>
      </w:r>
      <w:r w:rsidR="003A4FC0">
        <w:rPr>
          <w:lang w:eastAsia="en-AU"/>
        </w:rPr>
        <w:t>will set a c</w:t>
      </w:r>
      <w:r>
        <w:rPr>
          <w:lang w:eastAsia="en-AU"/>
        </w:rPr>
        <w:t xml:space="preserve">apacity </w:t>
      </w:r>
      <w:r w:rsidR="003A4FC0">
        <w:rPr>
          <w:lang w:eastAsia="en-AU"/>
        </w:rPr>
        <w:t>price</w:t>
      </w:r>
      <w:r w:rsidR="003D076E">
        <w:rPr>
          <w:lang w:eastAsia="en-AU"/>
        </w:rPr>
        <w:t xml:space="preserve"> for the fourth year</w:t>
      </w:r>
      <w:r>
        <w:rPr>
          <w:lang w:eastAsia="en-AU"/>
        </w:rPr>
        <w:t xml:space="preserve">. </w:t>
      </w:r>
    </w:p>
    <w:p w14:paraId="2E959048" w14:textId="15B3B462" w:rsidR="00DC09AD" w:rsidRDefault="00DC09AD" w:rsidP="006F7295">
      <w:pPr>
        <w:keepNext/>
        <w:rPr>
          <w:lang w:eastAsia="en-AU"/>
        </w:rPr>
      </w:pPr>
      <w:r>
        <w:rPr>
          <w:lang w:eastAsia="en-AU"/>
        </w:rPr>
        <w:t xml:space="preserve">The </w:t>
      </w:r>
      <w:r w:rsidR="003A4FC0">
        <w:rPr>
          <w:lang w:eastAsia="en-AU"/>
        </w:rPr>
        <w:t>c</w:t>
      </w:r>
      <w:r>
        <w:rPr>
          <w:lang w:eastAsia="en-AU"/>
        </w:rPr>
        <w:t xml:space="preserve">apacity </w:t>
      </w:r>
      <w:r w:rsidR="003A4FC0">
        <w:rPr>
          <w:lang w:eastAsia="en-AU"/>
        </w:rPr>
        <w:t>p</w:t>
      </w:r>
      <w:r>
        <w:rPr>
          <w:lang w:eastAsia="en-AU"/>
        </w:rPr>
        <w:t>rice will be:</w:t>
      </w:r>
    </w:p>
    <w:p w14:paraId="3ACCEE00" w14:textId="666004CA" w:rsidR="00DC09AD" w:rsidRDefault="003A4FC0" w:rsidP="00592571">
      <w:pPr>
        <w:pStyle w:val="Tablebulletlistlevel1"/>
        <w:keepNext/>
        <w:spacing w:after="120"/>
        <w:rPr>
          <w:lang w:eastAsia="en-AU"/>
        </w:rPr>
      </w:pPr>
      <w:r>
        <w:rPr>
          <w:lang w:eastAsia="en-AU"/>
        </w:rPr>
        <w:t>T</w:t>
      </w:r>
      <w:r w:rsidR="00DC09AD">
        <w:rPr>
          <w:lang w:eastAsia="en-AU"/>
        </w:rPr>
        <w:t xml:space="preserve">he price the Reliability Manager will pay for any </w:t>
      </w:r>
      <w:r>
        <w:rPr>
          <w:lang w:eastAsia="en-AU"/>
        </w:rPr>
        <w:t>c</w:t>
      </w:r>
      <w:r w:rsidR="00DC09AD">
        <w:rPr>
          <w:lang w:eastAsia="en-AU"/>
        </w:rPr>
        <w:t>apacity it must acquire (i.e.</w:t>
      </w:r>
      <w:r>
        <w:rPr>
          <w:lang w:eastAsia="en-AU"/>
        </w:rPr>
        <w:t>,</w:t>
      </w:r>
      <w:r w:rsidR="00DC09AD">
        <w:rPr>
          <w:lang w:eastAsia="en-AU"/>
        </w:rPr>
        <w:t xml:space="preserve"> where retailers fail to contract to meet their </w:t>
      </w:r>
      <w:r>
        <w:rPr>
          <w:lang w:eastAsia="en-AU"/>
        </w:rPr>
        <w:t>c</w:t>
      </w:r>
      <w:r w:rsidR="00DC09AD">
        <w:rPr>
          <w:lang w:eastAsia="en-AU"/>
        </w:rPr>
        <w:t xml:space="preserve">apacity </w:t>
      </w:r>
      <w:r>
        <w:rPr>
          <w:lang w:eastAsia="en-AU"/>
        </w:rPr>
        <w:t>o</w:t>
      </w:r>
      <w:r w:rsidR="00DC09AD">
        <w:rPr>
          <w:lang w:eastAsia="en-AU"/>
        </w:rPr>
        <w:t>bligations)</w:t>
      </w:r>
      <w:r w:rsidR="00A46455">
        <w:rPr>
          <w:lang w:eastAsia="en-AU"/>
        </w:rPr>
        <w:t>;</w:t>
      </w:r>
    </w:p>
    <w:p w14:paraId="62D359A7" w14:textId="137870BA" w:rsidR="00DC09AD" w:rsidRDefault="003A4FC0" w:rsidP="00592571">
      <w:pPr>
        <w:pStyle w:val="Tablebulletlistlevel1"/>
        <w:spacing w:after="120"/>
        <w:rPr>
          <w:lang w:eastAsia="en-AU"/>
        </w:rPr>
      </w:pPr>
      <w:r>
        <w:rPr>
          <w:lang w:eastAsia="en-AU"/>
        </w:rPr>
        <w:t>P</w:t>
      </w:r>
      <w:r w:rsidR="00DC09AD">
        <w:rPr>
          <w:lang w:eastAsia="en-AU"/>
        </w:rPr>
        <w:t>ublished as a benchmark price to inform negotiations between generators and retailers</w:t>
      </w:r>
      <w:r w:rsidR="00A46455">
        <w:rPr>
          <w:lang w:eastAsia="en-AU"/>
        </w:rPr>
        <w:t>;</w:t>
      </w:r>
      <w:r w:rsidR="00DC09AD">
        <w:rPr>
          <w:lang w:eastAsia="en-AU"/>
        </w:rPr>
        <w:t xml:space="preserve"> </w:t>
      </w:r>
    </w:p>
    <w:p w14:paraId="5C579130" w14:textId="095CCC7D" w:rsidR="000856A3" w:rsidRDefault="000856A3" w:rsidP="00592571">
      <w:pPr>
        <w:pStyle w:val="Tablebulletlistlevel1"/>
        <w:spacing w:after="120"/>
        <w:rPr>
          <w:lang w:eastAsia="en-AU"/>
        </w:rPr>
      </w:pPr>
      <w:r>
        <w:rPr>
          <w:lang w:eastAsia="en-AU"/>
        </w:rPr>
        <w:t xml:space="preserve">The basis for mandatory adjustments where retailers remain deficit </w:t>
      </w:r>
      <w:r w:rsidR="00A46455">
        <w:rPr>
          <w:lang w:eastAsia="en-AU"/>
        </w:rPr>
        <w:t xml:space="preserve">in </w:t>
      </w:r>
      <w:r>
        <w:rPr>
          <w:lang w:eastAsia="en-AU"/>
        </w:rPr>
        <w:t xml:space="preserve">during an ex-post review (see </w:t>
      </w:r>
      <w:r w:rsidR="006F7295">
        <w:rPr>
          <w:lang w:eastAsia="en-AU"/>
        </w:rPr>
        <w:t>previous section</w:t>
      </w:r>
      <w:r>
        <w:rPr>
          <w:lang w:eastAsia="en-AU"/>
        </w:rPr>
        <w:t>)</w:t>
      </w:r>
      <w:r w:rsidR="00A46455">
        <w:rPr>
          <w:lang w:eastAsia="en-AU"/>
        </w:rPr>
        <w:t>;</w:t>
      </w:r>
    </w:p>
    <w:p w14:paraId="61234BD5" w14:textId="6C99401A" w:rsidR="00DC09AD" w:rsidRDefault="00DC09AD" w:rsidP="00592571">
      <w:pPr>
        <w:pStyle w:val="Tablebulletlistlevel1"/>
        <w:spacing w:after="120"/>
        <w:rPr>
          <w:lang w:eastAsia="en-AU"/>
        </w:rPr>
      </w:pPr>
      <w:r>
        <w:rPr>
          <w:lang w:eastAsia="en-AU"/>
        </w:rPr>
        <w:lastRenderedPageBreak/>
        <w:t xml:space="preserve">An input to </w:t>
      </w:r>
      <w:r w:rsidR="00D11872">
        <w:rPr>
          <w:lang w:eastAsia="en-AU"/>
        </w:rPr>
        <w:t>capacity o</w:t>
      </w:r>
      <w:r w:rsidR="00E34FA0">
        <w:rPr>
          <w:lang w:eastAsia="en-AU"/>
        </w:rPr>
        <w:t>ut-of-</w:t>
      </w:r>
      <w:r w:rsidR="00D11872">
        <w:rPr>
          <w:lang w:eastAsia="en-AU"/>
        </w:rPr>
        <w:t>b</w:t>
      </w:r>
      <w:r>
        <w:rPr>
          <w:lang w:eastAsia="en-AU"/>
        </w:rPr>
        <w:t>alance settlement</w:t>
      </w:r>
      <w:r w:rsidR="00A46455">
        <w:rPr>
          <w:lang w:eastAsia="en-AU"/>
        </w:rPr>
        <w:t>;</w:t>
      </w:r>
      <w:r>
        <w:rPr>
          <w:lang w:eastAsia="en-AU"/>
        </w:rPr>
        <w:t xml:space="preserve"> and </w:t>
      </w:r>
    </w:p>
    <w:p w14:paraId="5FABADD1" w14:textId="37E0CC75" w:rsidR="00467277" w:rsidRDefault="00DC09AD" w:rsidP="00592571">
      <w:pPr>
        <w:pStyle w:val="Tablebulletlistlevel1"/>
        <w:spacing w:after="200"/>
        <w:rPr>
          <w:lang w:eastAsia="en-AU"/>
        </w:rPr>
      </w:pPr>
      <w:r>
        <w:rPr>
          <w:lang w:eastAsia="en-AU"/>
        </w:rPr>
        <w:t>An incentive for t</w:t>
      </w:r>
      <w:r w:rsidR="003A4FC0">
        <w:rPr>
          <w:lang w:eastAsia="en-AU"/>
        </w:rPr>
        <w:t>iming of maintenance activities</w:t>
      </w:r>
      <w:r w:rsidR="00A46455">
        <w:rPr>
          <w:lang w:eastAsia="en-AU"/>
        </w:rPr>
        <w:t>.</w:t>
      </w:r>
    </w:p>
    <w:p w14:paraId="46A63390" w14:textId="3EC30490" w:rsidR="00DC09AD" w:rsidRDefault="00DC09AD" w:rsidP="00DC09AD">
      <w:pPr>
        <w:rPr>
          <w:lang w:eastAsia="en-AU"/>
        </w:rPr>
      </w:pPr>
      <w:r>
        <w:rPr>
          <w:lang w:eastAsia="en-AU"/>
        </w:rPr>
        <w:t xml:space="preserve">The level of </w:t>
      </w:r>
      <w:r w:rsidR="003A4FC0">
        <w:rPr>
          <w:lang w:eastAsia="en-AU"/>
        </w:rPr>
        <w:t>c</w:t>
      </w:r>
      <w:r>
        <w:rPr>
          <w:lang w:eastAsia="en-AU"/>
        </w:rPr>
        <w:t xml:space="preserve">apacity required and the impact of the existing </w:t>
      </w:r>
      <w:r w:rsidR="00F2559C">
        <w:rPr>
          <w:lang w:eastAsia="en-AU"/>
        </w:rPr>
        <w:t>PPAs</w:t>
      </w:r>
      <w:r w:rsidR="003A4FC0">
        <w:rPr>
          <w:lang w:eastAsia="en-AU"/>
        </w:rPr>
        <w:t xml:space="preserve"> and other</w:t>
      </w:r>
      <w:r>
        <w:rPr>
          <w:lang w:eastAsia="en-AU"/>
        </w:rPr>
        <w:t xml:space="preserve"> contrac</w:t>
      </w:r>
      <w:r w:rsidR="003A4FC0">
        <w:rPr>
          <w:lang w:eastAsia="en-AU"/>
        </w:rPr>
        <w:t>ts will determine the level of c</w:t>
      </w:r>
      <w:r>
        <w:rPr>
          <w:lang w:eastAsia="en-AU"/>
        </w:rPr>
        <w:t>apacity present in the system</w:t>
      </w:r>
      <w:r w:rsidR="003D076E">
        <w:rPr>
          <w:lang w:eastAsia="en-AU"/>
        </w:rPr>
        <w:t>. Analysis of the marginal cost of existing capacity will be used to determine the capacity price</w:t>
      </w:r>
      <w:r w:rsidR="003A4FC0">
        <w:rPr>
          <w:lang w:eastAsia="en-AU"/>
        </w:rPr>
        <w:t xml:space="preserve"> in the short term</w:t>
      </w:r>
      <w:r>
        <w:rPr>
          <w:lang w:eastAsia="en-AU"/>
        </w:rPr>
        <w:t xml:space="preserve">. </w:t>
      </w:r>
    </w:p>
    <w:p w14:paraId="2C301A93" w14:textId="32EFC7E1" w:rsidR="00251EF1" w:rsidRPr="00FC3F0E" w:rsidRDefault="00DC09AD" w:rsidP="00DC09AD">
      <w:pPr>
        <w:rPr>
          <w:lang w:eastAsia="en-AU"/>
        </w:rPr>
      </w:pPr>
      <w:r>
        <w:rPr>
          <w:lang w:eastAsia="en-AU"/>
        </w:rPr>
        <w:t>In the long</w:t>
      </w:r>
      <w:r w:rsidR="00BD3AC6">
        <w:rPr>
          <w:lang w:eastAsia="en-AU"/>
        </w:rPr>
        <w:t xml:space="preserve"> </w:t>
      </w:r>
      <w:r>
        <w:rPr>
          <w:lang w:eastAsia="en-AU"/>
        </w:rPr>
        <w:t xml:space="preserve">term, the </w:t>
      </w:r>
      <w:r w:rsidR="00235FFD">
        <w:rPr>
          <w:lang w:eastAsia="en-AU"/>
        </w:rPr>
        <w:t>c</w:t>
      </w:r>
      <w:r>
        <w:rPr>
          <w:lang w:eastAsia="en-AU"/>
        </w:rPr>
        <w:t xml:space="preserve">apacity </w:t>
      </w:r>
      <w:r w:rsidR="00235FFD">
        <w:rPr>
          <w:lang w:eastAsia="en-AU"/>
        </w:rPr>
        <w:t>p</w:t>
      </w:r>
      <w:r>
        <w:rPr>
          <w:lang w:eastAsia="en-AU"/>
        </w:rPr>
        <w:t xml:space="preserve">rice will be derived from market studies of forecast demand compared to the forecast availability of capacity. This will be done by examining the change in cost to deliver the same level of reliability under the </w:t>
      </w:r>
      <w:r w:rsidR="008F29F6">
        <w:rPr>
          <w:lang w:eastAsia="en-AU"/>
        </w:rPr>
        <w:t>r</w:t>
      </w:r>
      <w:r>
        <w:rPr>
          <w:lang w:eastAsia="en-AU"/>
        </w:rPr>
        <w:t xml:space="preserve">eliability </w:t>
      </w:r>
      <w:r w:rsidR="008F29F6">
        <w:rPr>
          <w:lang w:eastAsia="en-AU"/>
        </w:rPr>
        <w:t>s</w:t>
      </w:r>
      <w:r>
        <w:rPr>
          <w:lang w:eastAsia="en-AU"/>
        </w:rPr>
        <w:t>tandard if forecast demand was 1 MW different to the prevailing forecast</w:t>
      </w:r>
      <w:r w:rsidR="00FC3F0E">
        <w:rPr>
          <w:lang w:eastAsia="en-AU"/>
        </w:rPr>
        <w:t xml:space="preserve"> (that is, </w:t>
      </w:r>
      <w:r>
        <w:rPr>
          <w:lang w:eastAsia="en-AU"/>
        </w:rPr>
        <w:t>what is the extra (or lesser) cost likely to be if demand was marginally more (or less)</w:t>
      </w:r>
      <w:r w:rsidR="00FC3F0E">
        <w:rPr>
          <w:lang w:eastAsia="en-AU"/>
        </w:rPr>
        <w:t>)</w:t>
      </w:r>
      <w:r>
        <w:rPr>
          <w:lang w:eastAsia="en-AU"/>
        </w:rPr>
        <w:t xml:space="preserve">. </w:t>
      </w:r>
      <w:r w:rsidR="00235FFD">
        <w:rPr>
          <w:lang w:eastAsia="en-AU"/>
        </w:rPr>
        <w:t>The capacity price can also be set by benchmarking against the price set for deficit capacity obligation procured by the Reliability Manager through a central process (</w:t>
      </w:r>
      <w:r w:rsidR="00957245">
        <w:rPr>
          <w:lang w:eastAsia="en-AU"/>
        </w:rPr>
        <w:t>such as an auction or</w:t>
      </w:r>
      <w:r w:rsidR="00235FFD">
        <w:rPr>
          <w:lang w:eastAsia="en-AU"/>
        </w:rPr>
        <w:t xml:space="preserve"> tender).</w:t>
      </w:r>
      <w:r w:rsidR="00ED1A9A">
        <w:rPr>
          <w:lang w:eastAsia="en-AU"/>
        </w:rPr>
        <w:t xml:space="preserve"> Other markets base their capacity price on the size of a typical new entrant of the technology expected and this could also be done in the DKIS</w:t>
      </w:r>
      <w:r w:rsidR="00A77723">
        <w:rPr>
          <w:lang w:eastAsia="en-AU"/>
        </w:rPr>
        <w:t>, but this requires that the technology of the new entrant be selected in advance</w:t>
      </w:r>
      <w:r w:rsidR="00ED1A9A">
        <w:rPr>
          <w:lang w:eastAsia="en-AU"/>
        </w:rPr>
        <w:t xml:space="preserve">. The small increment of capacity (1MW) proposed in this paper reflects the purposes of the capacity price under the NTEM Priority Reform Program. For example, </w:t>
      </w:r>
      <w:r w:rsidR="00B73848">
        <w:rPr>
          <w:lang w:eastAsia="en-AU"/>
        </w:rPr>
        <w:t>the price</w:t>
      </w:r>
      <w:r w:rsidR="00ED1A9A">
        <w:rPr>
          <w:lang w:eastAsia="en-AU"/>
        </w:rPr>
        <w:t xml:space="preserve"> is intended to be used to create incentives for timing of mainten</w:t>
      </w:r>
      <w:r w:rsidR="00ED1A9A" w:rsidRPr="00FC3F0E">
        <w:rPr>
          <w:lang w:eastAsia="en-AU"/>
        </w:rPr>
        <w:t>ance</w:t>
      </w:r>
      <w:r w:rsidR="00F02741">
        <w:rPr>
          <w:lang w:eastAsia="en-AU"/>
        </w:rPr>
        <w:t xml:space="preserve"> and</w:t>
      </w:r>
      <w:r w:rsidR="00ED1A9A" w:rsidRPr="00FC3F0E">
        <w:rPr>
          <w:lang w:eastAsia="en-AU"/>
        </w:rPr>
        <w:t xml:space="preserve"> be the basis of trading capacity in the ex-post reconciliation</w:t>
      </w:r>
      <w:r w:rsidR="00F02741">
        <w:rPr>
          <w:lang w:eastAsia="en-AU"/>
        </w:rPr>
        <w:t>. The proposed approach</w:t>
      </w:r>
      <w:r w:rsidR="00ED1A9A" w:rsidRPr="00FC3F0E">
        <w:rPr>
          <w:lang w:eastAsia="en-AU"/>
        </w:rPr>
        <w:t xml:space="preserve"> allows the modelling to identify the technology</w:t>
      </w:r>
      <w:r w:rsidR="00F02741">
        <w:rPr>
          <w:lang w:eastAsia="en-AU"/>
        </w:rPr>
        <w:t xml:space="preserve"> on the basis of costs</w:t>
      </w:r>
      <w:r w:rsidR="00A77723" w:rsidRPr="00FC3F0E">
        <w:rPr>
          <w:lang w:eastAsia="en-AU"/>
        </w:rPr>
        <w:t xml:space="preserve">, noting that </w:t>
      </w:r>
      <w:r w:rsidR="00F02741">
        <w:rPr>
          <w:lang w:eastAsia="en-AU"/>
        </w:rPr>
        <w:t xml:space="preserve">although </w:t>
      </w:r>
      <w:r w:rsidR="00A77723" w:rsidRPr="00FC3F0E">
        <w:rPr>
          <w:lang w:eastAsia="en-AU"/>
        </w:rPr>
        <w:t>the 1</w:t>
      </w:r>
      <w:r w:rsidR="00F02741">
        <w:rPr>
          <w:lang w:eastAsia="en-AU"/>
        </w:rPr>
        <w:t> </w:t>
      </w:r>
      <w:r w:rsidR="00A77723" w:rsidRPr="00FC3F0E">
        <w:rPr>
          <w:lang w:eastAsia="en-AU"/>
        </w:rPr>
        <w:t xml:space="preserve">MW increment is artificial </w:t>
      </w:r>
      <w:r w:rsidR="00F02741">
        <w:rPr>
          <w:lang w:eastAsia="en-AU"/>
        </w:rPr>
        <w:t>(and may be below the minimum size of a new (</w:t>
      </w:r>
      <w:proofErr w:type="gramStart"/>
      <w:r w:rsidR="00F02741">
        <w:rPr>
          <w:lang w:eastAsia="en-AU"/>
        </w:rPr>
        <w:t>greenfield</w:t>
      </w:r>
      <w:proofErr w:type="gramEnd"/>
      <w:r w:rsidR="00F02741">
        <w:rPr>
          <w:lang w:eastAsia="en-AU"/>
        </w:rPr>
        <w:t xml:space="preserve">) investment in some technologies) it will be suitable for the role of the capacity price under the NTEM Priority Reform Program. </w:t>
      </w:r>
    </w:p>
    <w:p w14:paraId="7114FFF0" w14:textId="33D3BEAF" w:rsidR="00235FFD" w:rsidRPr="00FC3F0E" w:rsidRDefault="00251EF1" w:rsidP="00DC09AD">
      <w:pPr>
        <w:rPr>
          <w:lang w:eastAsia="en-AU"/>
        </w:rPr>
      </w:pPr>
      <w:r w:rsidRPr="00FC3F0E">
        <w:rPr>
          <w:lang w:eastAsia="en-AU"/>
        </w:rPr>
        <w:t xml:space="preserve">Rules regarding the methodology that the Reliability Manager is to use for setting the </w:t>
      </w:r>
      <w:r w:rsidR="0069006B">
        <w:rPr>
          <w:lang w:eastAsia="en-AU"/>
        </w:rPr>
        <w:t>capacity price</w:t>
      </w:r>
      <w:r w:rsidRPr="00FC3F0E">
        <w:rPr>
          <w:lang w:eastAsia="en-AU"/>
        </w:rPr>
        <w:t xml:space="preserve"> will be established. </w:t>
      </w:r>
    </w:p>
    <w:p w14:paraId="4DAB9837" w14:textId="5D46FF09" w:rsidR="00DC09AD" w:rsidRDefault="00DC09AD" w:rsidP="00DC09AD">
      <w:pPr>
        <w:rPr>
          <w:lang w:eastAsia="en-AU"/>
        </w:rPr>
      </w:pPr>
      <w:r w:rsidRPr="00FC3F0E">
        <w:rPr>
          <w:lang w:eastAsia="en-AU"/>
        </w:rPr>
        <w:t>In the analysis</w:t>
      </w:r>
      <w:r w:rsidR="00436FF1" w:rsidRPr="00FC3F0E">
        <w:rPr>
          <w:lang w:eastAsia="en-AU"/>
        </w:rPr>
        <w:t xml:space="preserve"> by the Reliability</w:t>
      </w:r>
      <w:r w:rsidR="00436FF1">
        <w:rPr>
          <w:lang w:eastAsia="en-AU"/>
        </w:rPr>
        <w:t xml:space="preserve"> Manager</w:t>
      </w:r>
      <w:r>
        <w:rPr>
          <w:lang w:eastAsia="en-AU"/>
        </w:rPr>
        <w:t xml:space="preserve">, consideration will need to be given to the impact of the diurnal change in output from </w:t>
      </w:r>
      <w:r w:rsidR="0069006B">
        <w:rPr>
          <w:lang w:eastAsia="en-AU"/>
        </w:rPr>
        <w:t xml:space="preserve">intermittent </w:t>
      </w:r>
      <w:r>
        <w:rPr>
          <w:lang w:eastAsia="en-AU"/>
        </w:rPr>
        <w:t xml:space="preserve">plant as the lowest reserve may occur late in the day or early evening. </w:t>
      </w:r>
      <w:r w:rsidR="00235FFD">
        <w:rPr>
          <w:lang w:eastAsia="en-AU"/>
        </w:rPr>
        <w:t xml:space="preserve">This will have implications for the type of generation required to be purchased. </w:t>
      </w:r>
      <w:r w:rsidR="006F7295">
        <w:rPr>
          <w:lang w:eastAsia="en-AU"/>
        </w:rPr>
        <w:t xml:space="preserve">The Reliability Manager will also need to consider </w:t>
      </w:r>
      <w:r>
        <w:rPr>
          <w:lang w:eastAsia="en-AU"/>
        </w:rPr>
        <w:t xml:space="preserve">whether </w:t>
      </w:r>
      <w:r w:rsidR="00235FFD">
        <w:rPr>
          <w:lang w:eastAsia="en-AU"/>
        </w:rPr>
        <w:t xml:space="preserve">there </w:t>
      </w:r>
      <w:r w:rsidR="00A63FE8">
        <w:rPr>
          <w:lang w:eastAsia="en-AU"/>
        </w:rPr>
        <w:t>is a need</w:t>
      </w:r>
      <w:r>
        <w:rPr>
          <w:lang w:eastAsia="en-AU"/>
        </w:rPr>
        <w:t xml:space="preserve"> to adjust </w:t>
      </w:r>
      <w:r w:rsidR="00A63FE8">
        <w:rPr>
          <w:lang w:eastAsia="en-AU"/>
        </w:rPr>
        <w:t>a</w:t>
      </w:r>
      <w:r>
        <w:rPr>
          <w:lang w:eastAsia="en-AU"/>
        </w:rPr>
        <w:t xml:space="preserve"> </w:t>
      </w:r>
      <w:r w:rsidR="00A63FE8">
        <w:rPr>
          <w:lang w:eastAsia="en-AU"/>
        </w:rPr>
        <w:t xml:space="preserve">declared </w:t>
      </w:r>
      <w:r>
        <w:rPr>
          <w:lang w:eastAsia="en-AU"/>
        </w:rPr>
        <w:t xml:space="preserve">capacity price. The need for such adjustments has arisen in a number of capacity markets including in </w:t>
      </w:r>
      <w:r w:rsidR="001F3977">
        <w:rPr>
          <w:lang w:eastAsia="en-AU"/>
        </w:rPr>
        <w:t xml:space="preserve">the </w:t>
      </w:r>
      <w:r w:rsidR="00631143">
        <w:rPr>
          <w:lang w:eastAsia="en-AU"/>
        </w:rPr>
        <w:t>WEM</w:t>
      </w:r>
      <w:r>
        <w:rPr>
          <w:lang w:eastAsia="en-AU"/>
        </w:rPr>
        <w:t xml:space="preserve"> and </w:t>
      </w:r>
      <w:r w:rsidR="00235FFD">
        <w:rPr>
          <w:lang w:eastAsia="en-AU"/>
        </w:rPr>
        <w:t>may also be needed</w:t>
      </w:r>
      <w:r>
        <w:rPr>
          <w:lang w:eastAsia="en-AU"/>
        </w:rPr>
        <w:t xml:space="preserve"> in the </w:t>
      </w:r>
      <w:r w:rsidR="00696DEA">
        <w:rPr>
          <w:lang w:eastAsia="en-AU"/>
        </w:rPr>
        <w:t>DKIS</w:t>
      </w:r>
      <w:r>
        <w:rPr>
          <w:lang w:eastAsia="en-AU"/>
        </w:rPr>
        <w:t xml:space="preserve">. </w:t>
      </w:r>
    </w:p>
    <w:p w14:paraId="0554D777" w14:textId="76F24499" w:rsidR="0069006B" w:rsidRDefault="00DC09AD" w:rsidP="00DC09AD">
      <w:pPr>
        <w:rPr>
          <w:lang w:eastAsia="en-AU"/>
        </w:rPr>
      </w:pPr>
      <w:r>
        <w:rPr>
          <w:lang w:eastAsia="en-AU"/>
        </w:rPr>
        <w:t xml:space="preserve">Typically, </w:t>
      </w:r>
      <w:r w:rsidR="00235FFD">
        <w:rPr>
          <w:lang w:eastAsia="en-AU"/>
        </w:rPr>
        <w:t>c</w:t>
      </w:r>
      <w:r>
        <w:rPr>
          <w:lang w:eastAsia="en-AU"/>
        </w:rPr>
        <w:t xml:space="preserve">apacity </w:t>
      </w:r>
      <w:r w:rsidR="00235FFD">
        <w:rPr>
          <w:lang w:eastAsia="en-AU"/>
        </w:rPr>
        <w:t>p</w:t>
      </w:r>
      <w:r>
        <w:rPr>
          <w:lang w:eastAsia="en-AU"/>
        </w:rPr>
        <w:t>rices are in the order</w:t>
      </w:r>
      <w:r w:rsidR="00235FFD">
        <w:rPr>
          <w:lang w:eastAsia="en-AU"/>
        </w:rPr>
        <w:t xml:space="preserve"> of $10 to $15</w:t>
      </w:r>
      <w:r w:rsidR="00D11872">
        <w:rPr>
          <w:lang w:eastAsia="en-AU"/>
        </w:rPr>
        <w:t xml:space="preserve"> per </w:t>
      </w:r>
      <w:r w:rsidR="00235FFD">
        <w:rPr>
          <w:lang w:eastAsia="en-AU"/>
        </w:rPr>
        <w:t>MW</w:t>
      </w:r>
      <w:r w:rsidR="00957245">
        <w:rPr>
          <w:lang w:eastAsia="en-AU"/>
        </w:rPr>
        <w:t xml:space="preserve"> per </w:t>
      </w:r>
      <w:r w:rsidR="00235FFD">
        <w:rPr>
          <w:lang w:eastAsia="en-AU"/>
        </w:rPr>
        <w:t>hour</w:t>
      </w:r>
      <w:r w:rsidR="00957245">
        <w:rPr>
          <w:lang w:eastAsia="en-AU"/>
        </w:rPr>
        <w:t xml:space="preserve"> </w:t>
      </w:r>
      <w:r w:rsidR="00235FFD">
        <w:rPr>
          <w:lang w:eastAsia="en-AU"/>
        </w:rPr>
        <w:t>per year</w:t>
      </w:r>
      <w:r w:rsidR="00A46455">
        <w:rPr>
          <w:lang w:eastAsia="en-AU"/>
        </w:rPr>
        <w:t xml:space="preserve"> when incremental capacity is sourced from gas fired</w:t>
      </w:r>
      <w:r w:rsidR="00F5219C">
        <w:rPr>
          <w:lang w:eastAsia="en-AU"/>
        </w:rPr>
        <w:t xml:space="preserve"> generation</w:t>
      </w:r>
      <w:r w:rsidR="00A46455">
        <w:rPr>
          <w:lang w:eastAsia="en-AU"/>
        </w:rPr>
        <w:t xml:space="preserve"> plant</w:t>
      </w:r>
      <w:r w:rsidR="00734B49">
        <w:rPr>
          <w:lang w:eastAsia="en-AU"/>
        </w:rPr>
        <w:t xml:space="preserve">. However, a capacity price for the DKIS </w:t>
      </w:r>
      <w:r>
        <w:rPr>
          <w:lang w:eastAsia="en-AU"/>
        </w:rPr>
        <w:t>will only be available from detailed analysis</w:t>
      </w:r>
      <w:r w:rsidR="00957245">
        <w:rPr>
          <w:lang w:eastAsia="en-AU"/>
        </w:rPr>
        <w:t xml:space="preserve"> </w:t>
      </w:r>
      <w:r w:rsidR="00734B49">
        <w:rPr>
          <w:lang w:eastAsia="en-AU"/>
        </w:rPr>
        <w:t>relating to the DKIS</w:t>
      </w:r>
      <w:r w:rsidR="00A46455">
        <w:rPr>
          <w:lang w:eastAsia="en-AU"/>
        </w:rPr>
        <w:t xml:space="preserve"> </w:t>
      </w:r>
      <w:r w:rsidR="00F5219C">
        <w:rPr>
          <w:lang w:eastAsia="en-AU"/>
        </w:rPr>
        <w:t xml:space="preserve">including </w:t>
      </w:r>
      <w:r w:rsidR="00A46455">
        <w:rPr>
          <w:lang w:eastAsia="en-AU"/>
        </w:rPr>
        <w:t xml:space="preserve">consideration of </w:t>
      </w:r>
      <w:r w:rsidR="00F5219C">
        <w:rPr>
          <w:lang w:eastAsia="en-AU"/>
        </w:rPr>
        <w:t>what</w:t>
      </w:r>
      <w:r w:rsidR="00A46455">
        <w:rPr>
          <w:lang w:eastAsia="en-AU"/>
        </w:rPr>
        <w:t xml:space="preserve"> </w:t>
      </w:r>
      <w:r w:rsidR="00F5219C">
        <w:rPr>
          <w:lang w:eastAsia="en-AU"/>
        </w:rPr>
        <w:t xml:space="preserve">capacity sources, including </w:t>
      </w:r>
      <w:r w:rsidR="00A46455">
        <w:rPr>
          <w:lang w:eastAsia="en-AU"/>
        </w:rPr>
        <w:t xml:space="preserve">storage or demand </w:t>
      </w:r>
      <w:r w:rsidR="00F5219C">
        <w:rPr>
          <w:lang w:eastAsia="en-AU"/>
        </w:rPr>
        <w:t xml:space="preserve">energy </w:t>
      </w:r>
      <w:r w:rsidR="004145BF">
        <w:rPr>
          <w:lang w:eastAsia="en-AU"/>
        </w:rPr>
        <w:t>response</w:t>
      </w:r>
      <w:r w:rsidR="00F5219C">
        <w:rPr>
          <w:lang w:eastAsia="en-AU"/>
        </w:rPr>
        <w:t xml:space="preserve">, </w:t>
      </w:r>
      <w:r w:rsidR="00A46455">
        <w:rPr>
          <w:lang w:eastAsia="en-AU"/>
        </w:rPr>
        <w:t xml:space="preserve">might </w:t>
      </w:r>
      <w:r w:rsidR="00F5219C">
        <w:rPr>
          <w:lang w:eastAsia="en-AU"/>
        </w:rPr>
        <w:t>contribute</w:t>
      </w:r>
      <w:r w:rsidR="00A46455">
        <w:rPr>
          <w:lang w:eastAsia="en-AU"/>
        </w:rPr>
        <w:t>.</w:t>
      </w:r>
    </w:p>
    <w:p w14:paraId="29345A4E" w14:textId="6D6B8C0B" w:rsidR="00957245" w:rsidRDefault="00957245" w:rsidP="00957245">
      <w:pPr>
        <w:pStyle w:val="Heading1"/>
        <w:rPr>
          <w:lang w:eastAsia="en-AU"/>
        </w:rPr>
      </w:pPr>
      <w:bookmarkStart w:id="14" w:name="_Toc59188469"/>
      <w:r>
        <w:rPr>
          <w:lang w:eastAsia="en-AU"/>
        </w:rPr>
        <w:t>Accreditation of capacity</w:t>
      </w:r>
      <w:bookmarkEnd w:id="14"/>
    </w:p>
    <w:p w14:paraId="58791D74" w14:textId="07B2F6B5" w:rsidR="005E4A9D" w:rsidRDefault="005E4A9D" w:rsidP="00957245">
      <w:pPr>
        <w:rPr>
          <w:lang w:eastAsia="en-AU"/>
        </w:rPr>
      </w:pPr>
      <w:r>
        <w:rPr>
          <w:lang w:eastAsia="en-AU"/>
        </w:rPr>
        <w:t>The a</w:t>
      </w:r>
      <w:r w:rsidR="00957245">
        <w:rPr>
          <w:lang w:eastAsia="en-AU"/>
        </w:rPr>
        <w:t xml:space="preserve">ssessment of reliability in any power system needs an understanding of the capability and performance of individual </w:t>
      </w:r>
      <w:r>
        <w:rPr>
          <w:lang w:eastAsia="en-AU"/>
        </w:rPr>
        <w:t>generation units</w:t>
      </w:r>
      <w:r w:rsidR="00957245">
        <w:rPr>
          <w:lang w:eastAsia="en-AU"/>
        </w:rPr>
        <w:t xml:space="preserve"> </w:t>
      </w:r>
      <w:r w:rsidR="00A63FE8">
        <w:rPr>
          <w:lang w:eastAsia="en-AU"/>
        </w:rPr>
        <w:t>and other forms of capacity (</w:t>
      </w:r>
      <w:r w:rsidR="00C93277">
        <w:rPr>
          <w:lang w:eastAsia="en-AU"/>
        </w:rPr>
        <w:t xml:space="preserve">e.g. </w:t>
      </w:r>
      <w:r w:rsidR="00A63FE8">
        <w:rPr>
          <w:lang w:eastAsia="en-AU"/>
        </w:rPr>
        <w:t xml:space="preserve">battery storage and demand response) </w:t>
      </w:r>
      <w:r w:rsidR="00957245">
        <w:rPr>
          <w:lang w:eastAsia="en-AU"/>
        </w:rPr>
        <w:t xml:space="preserve">and how their combined performance meets customer demand for energy and essential </w:t>
      </w:r>
      <w:r w:rsidR="00BE0F9F">
        <w:rPr>
          <w:lang w:eastAsia="en-AU"/>
        </w:rPr>
        <w:t xml:space="preserve">system </w:t>
      </w:r>
      <w:r>
        <w:rPr>
          <w:lang w:eastAsia="en-AU"/>
        </w:rPr>
        <w:t xml:space="preserve">services. </w:t>
      </w:r>
      <w:r w:rsidR="00216187">
        <w:rPr>
          <w:lang w:eastAsia="en-AU"/>
        </w:rPr>
        <w:t xml:space="preserve">The </w:t>
      </w:r>
      <w:r w:rsidR="00957245">
        <w:rPr>
          <w:lang w:eastAsia="en-AU"/>
        </w:rPr>
        <w:t xml:space="preserve">process to assess the contribution of </w:t>
      </w:r>
      <w:r w:rsidR="00E114F3">
        <w:rPr>
          <w:lang w:eastAsia="en-AU"/>
        </w:rPr>
        <w:t>various plant</w:t>
      </w:r>
      <w:r w:rsidR="00957245">
        <w:rPr>
          <w:lang w:eastAsia="en-AU"/>
        </w:rPr>
        <w:t xml:space="preserve"> to reliab</w:t>
      </w:r>
      <w:r>
        <w:rPr>
          <w:lang w:eastAsia="en-AU"/>
        </w:rPr>
        <w:t xml:space="preserve">ility is termed accreditation. </w:t>
      </w:r>
      <w:r w:rsidR="00EF66E2">
        <w:rPr>
          <w:lang w:eastAsia="en-AU"/>
        </w:rPr>
        <w:t xml:space="preserve">As </w:t>
      </w:r>
      <w:r w:rsidR="00D9211A">
        <w:rPr>
          <w:lang w:eastAsia="en-AU"/>
        </w:rPr>
        <w:t xml:space="preserve">different plant </w:t>
      </w:r>
      <w:r w:rsidR="00EF66E2">
        <w:rPr>
          <w:lang w:eastAsia="en-AU"/>
        </w:rPr>
        <w:t xml:space="preserve">may be owned by separate businesses and </w:t>
      </w:r>
      <w:r w:rsidR="00BE0F9F">
        <w:rPr>
          <w:lang w:eastAsia="en-AU"/>
        </w:rPr>
        <w:t xml:space="preserve">the </w:t>
      </w:r>
      <w:r w:rsidR="00EF66E2">
        <w:rPr>
          <w:lang w:eastAsia="en-AU"/>
        </w:rPr>
        <w:t>performance of each unit will in general differ</w:t>
      </w:r>
      <w:r w:rsidR="00BE0F9F">
        <w:rPr>
          <w:lang w:eastAsia="en-AU"/>
        </w:rPr>
        <w:t>,</w:t>
      </w:r>
      <w:r w:rsidR="00EF66E2">
        <w:rPr>
          <w:lang w:eastAsia="en-AU"/>
        </w:rPr>
        <w:t xml:space="preserve"> it is necessary to identify the contribution of each unit to reliability of the system so that owners can be appropriately remunerated and retailers can construct a portfolio of accredited capacity providers to suit their customer base. </w:t>
      </w:r>
    </w:p>
    <w:p w14:paraId="528BA13D" w14:textId="09601E5E" w:rsidR="00EE49AE" w:rsidRPr="00FC3F0E" w:rsidRDefault="00957245" w:rsidP="00B72A11">
      <w:pPr>
        <w:rPr>
          <w:lang w:eastAsia="en-AU"/>
        </w:rPr>
      </w:pPr>
      <w:r>
        <w:rPr>
          <w:lang w:eastAsia="en-AU"/>
        </w:rPr>
        <w:t xml:space="preserve">The degree to which different </w:t>
      </w:r>
      <w:r w:rsidR="00102928">
        <w:rPr>
          <w:lang w:eastAsia="en-AU"/>
        </w:rPr>
        <w:t xml:space="preserve">capacity </w:t>
      </w:r>
      <w:r w:rsidR="00102928" w:rsidRPr="00FC3F0E">
        <w:rPr>
          <w:lang w:eastAsia="en-AU"/>
        </w:rPr>
        <w:t>sources</w:t>
      </w:r>
      <w:r w:rsidRPr="00FC3F0E">
        <w:rPr>
          <w:lang w:eastAsia="en-AU"/>
        </w:rPr>
        <w:t xml:space="preserve"> are capable of contributing to reliability varies due to location</w:t>
      </w:r>
      <w:r w:rsidR="005E4A9D" w:rsidRPr="00FC3F0E">
        <w:rPr>
          <w:lang w:eastAsia="en-AU"/>
        </w:rPr>
        <w:t>,</w:t>
      </w:r>
      <w:r w:rsidRPr="00FC3F0E">
        <w:rPr>
          <w:lang w:eastAsia="en-AU"/>
        </w:rPr>
        <w:t xml:space="preserve"> technology </w:t>
      </w:r>
      <w:r w:rsidR="00D9211A" w:rsidRPr="00FC3F0E">
        <w:rPr>
          <w:lang w:eastAsia="en-AU"/>
        </w:rPr>
        <w:t xml:space="preserve">type </w:t>
      </w:r>
      <w:r w:rsidRPr="00FC3F0E">
        <w:rPr>
          <w:lang w:eastAsia="en-AU"/>
        </w:rPr>
        <w:t>and a range of other factors</w:t>
      </w:r>
      <w:r w:rsidR="00102928" w:rsidRPr="00FC3F0E">
        <w:rPr>
          <w:lang w:eastAsia="en-AU"/>
        </w:rPr>
        <w:t>, which impact on the availability of the plant</w:t>
      </w:r>
      <w:r w:rsidRPr="00FC3F0E">
        <w:rPr>
          <w:lang w:eastAsia="en-AU"/>
        </w:rPr>
        <w:t xml:space="preserve">. For example, a </w:t>
      </w:r>
      <w:r w:rsidRPr="00FC3F0E">
        <w:t xml:space="preserve">solar </w:t>
      </w:r>
      <w:r w:rsidR="005E4A9D" w:rsidRPr="00FC3F0E">
        <w:t>photovoltaic</w:t>
      </w:r>
      <w:r w:rsidR="005E4A9D" w:rsidRPr="009A4556">
        <w:t xml:space="preserve"> </w:t>
      </w:r>
      <w:r w:rsidRPr="00FC3F0E">
        <w:rPr>
          <w:lang w:eastAsia="en-AU"/>
        </w:rPr>
        <w:t xml:space="preserve">installation </w:t>
      </w:r>
      <w:r w:rsidR="00C115D7" w:rsidRPr="00FC3F0E">
        <w:rPr>
          <w:lang w:eastAsia="en-AU"/>
        </w:rPr>
        <w:t xml:space="preserve">that is intermittent in nature </w:t>
      </w:r>
      <w:r w:rsidRPr="00FC3F0E">
        <w:rPr>
          <w:lang w:eastAsia="en-AU"/>
        </w:rPr>
        <w:t xml:space="preserve">cannot contribute to reliability after the sun sets and its contribution can </w:t>
      </w:r>
      <w:r w:rsidR="005E4A9D" w:rsidRPr="00FC3F0E">
        <w:rPr>
          <w:lang w:eastAsia="en-AU"/>
        </w:rPr>
        <w:t xml:space="preserve">also </w:t>
      </w:r>
      <w:r w:rsidRPr="00FC3F0E">
        <w:rPr>
          <w:lang w:eastAsia="en-AU"/>
        </w:rPr>
        <w:t xml:space="preserve">be reduced due to cloud cover, </w:t>
      </w:r>
      <w:r w:rsidR="005E4A9D" w:rsidRPr="00FC3F0E">
        <w:rPr>
          <w:lang w:eastAsia="en-AU"/>
        </w:rPr>
        <w:t>but</w:t>
      </w:r>
      <w:r w:rsidRPr="00FC3F0E">
        <w:rPr>
          <w:lang w:eastAsia="en-AU"/>
        </w:rPr>
        <w:t xml:space="preserve"> if coupled</w:t>
      </w:r>
      <w:r w:rsidR="005E4A9D" w:rsidRPr="00FC3F0E">
        <w:rPr>
          <w:lang w:eastAsia="en-AU"/>
        </w:rPr>
        <w:t xml:space="preserve"> with battery storage or other firming</w:t>
      </w:r>
      <w:r w:rsidRPr="00FC3F0E">
        <w:rPr>
          <w:lang w:eastAsia="en-AU"/>
        </w:rPr>
        <w:t xml:space="preserve"> arrangements, it may contribute more than the size of the solar capability. </w:t>
      </w:r>
      <w:r w:rsidR="00102928" w:rsidRPr="00FC3F0E">
        <w:rPr>
          <w:lang w:eastAsia="en-AU"/>
        </w:rPr>
        <w:t>A</w:t>
      </w:r>
      <w:r w:rsidRPr="00FC3F0E">
        <w:rPr>
          <w:lang w:eastAsia="en-AU"/>
        </w:rPr>
        <w:t xml:space="preserve"> gas </w:t>
      </w:r>
      <w:r w:rsidRPr="00FC3F0E">
        <w:rPr>
          <w:lang w:eastAsia="en-AU"/>
        </w:rPr>
        <w:lastRenderedPageBreak/>
        <w:t>fired generating unit can contribute throughout the day, but the contribution is dependent on fuel supply, temp</w:t>
      </w:r>
      <w:r w:rsidR="005E4A9D" w:rsidRPr="00FC3F0E">
        <w:rPr>
          <w:lang w:eastAsia="en-AU"/>
        </w:rPr>
        <w:t xml:space="preserve">erature and risk of breakdown. </w:t>
      </w:r>
      <w:r w:rsidR="00EE49AE" w:rsidRPr="00FC3F0E">
        <w:rPr>
          <w:lang w:eastAsia="en-AU"/>
        </w:rPr>
        <w:t>Thus, accreditation will vary by plant.</w:t>
      </w:r>
    </w:p>
    <w:p w14:paraId="688CB2AE" w14:textId="7BF46D3A" w:rsidR="00B600F9" w:rsidRPr="00FC3F0E" w:rsidRDefault="005E4A9D" w:rsidP="00957245">
      <w:pPr>
        <w:rPr>
          <w:lang w:eastAsia="en-AU"/>
        </w:rPr>
      </w:pPr>
      <w:r w:rsidRPr="008722C4">
        <w:rPr>
          <w:lang w:eastAsia="en-AU"/>
        </w:rPr>
        <w:t xml:space="preserve">The following sections describe the proposed process for accrediting </w:t>
      </w:r>
      <w:r w:rsidR="0012041F">
        <w:rPr>
          <w:lang w:eastAsia="en-AU"/>
        </w:rPr>
        <w:t>capacity</w:t>
      </w:r>
      <w:r w:rsidRPr="008722C4">
        <w:rPr>
          <w:lang w:eastAsia="en-AU"/>
        </w:rPr>
        <w:t xml:space="preserve"> </w:t>
      </w:r>
      <w:r w:rsidR="00696DEA" w:rsidRPr="008722C4">
        <w:rPr>
          <w:lang w:eastAsia="en-AU"/>
        </w:rPr>
        <w:t>for</w:t>
      </w:r>
      <w:r w:rsidRPr="008722C4">
        <w:rPr>
          <w:lang w:eastAsia="en-AU"/>
        </w:rPr>
        <w:t xml:space="preserve"> the NTEM</w:t>
      </w:r>
      <w:r w:rsidR="00696DEA" w:rsidRPr="008722C4">
        <w:rPr>
          <w:lang w:eastAsia="en-AU"/>
        </w:rPr>
        <w:t xml:space="preserve"> Priority Reform Program</w:t>
      </w:r>
      <w:r w:rsidRPr="008722C4">
        <w:rPr>
          <w:lang w:eastAsia="en-AU"/>
        </w:rPr>
        <w:t>.</w:t>
      </w:r>
      <w:r w:rsidR="00EE49AE" w:rsidRPr="008722C4">
        <w:rPr>
          <w:lang w:eastAsia="en-AU"/>
        </w:rPr>
        <w:t xml:space="preserve"> </w:t>
      </w:r>
      <w:r w:rsidR="004139B1" w:rsidRPr="008722C4">
        <w:rPr>
          <w:lang w:eastAsia="en-AU"/>
        </w:rPr>
        <w:t>The concept of the Effectiv</w:t>
      </w:r>
      <w:r w:rsidR="00102928" w:rsidRPr="008722C4">
        <w:rPr>
          <w:lang w:eastAsia="en-AU"/>
        </w:rPr>
        <w:t>e Load Carrying Capacity (ELCC)</w:t>
      </w:r>
      <w:r w:rsidR="004139B1" w:rsidRPr="008722C4">
        <w:rPr>
          <w:lang w:eastAsia="en-AU"/>
        </w:rPr>
        <w:t xml:space="preserve"> will be used</w:t>
      </w:r>
      <w:r w:rsidR="00102928" w:rsidRPr="008722C4">
        <w:rPr>
          <w:lang w:eastAsia="en-AU"/>
        </w:rPr>
        <w:t xml:space="preserve"> to determine accreditation for controllable and intermittent </w:t>
      </w:r>
      <w:r w:rsidR="0012041F">
        <w:rPr>
          <w:lang w:eastAsia="en-AU"/>
        </w:rPr>
        <w:t>generators and storage</w:t>
      </w:r>
      <w:r w:rsidR="00102928" w:rsidRPr="008722C4">
        <w:rPr>
          <w:lang w:eastAsia="en-AU"/>
        </w:rPr>
        <w:t xml:space="preserve">. </w:t>
      </w:r>
      <w:r w:rsidR="00F02741">
        <w:rPr>
          <w:lang w:eastAsia="en-AU"/>
        </w:rPr>
        <w:t xml:space="preserve">The </w:t>
      </w:r>
      <w:r w:rsidR="00102928" w:rsidRPr="008722C4">
        <w:rPr>
          <w:lang w:eastAsia="en-AU"/>
        </w:rPr>
        <w:t xml:space="preserve">ELCC </w:t>
      </w:r>
      <w:r w:rsidR="00F02741">
        <w:rPr>
          <w:lang w:eastAsia="en-AU"/>
        </w:rPr>
        <w:t xml:space="preserve">concept </w:t>
      </w:r>
      <w:r w:rsidR="004139B1" w:rsidRPr="008722C4">
        <w:rPr>
          <w:lang w:eastAsia="en-AU"/>
        </w:rPr>
        <w:t>is used in a number of international markets and also in Western Australia.</w:t>
      </w:r>
      <w:r w:rsidR="00F02741">
        <w:rPr>
          <w:rStyle w:val="FootnoteReference"/>
          <w:lang w:eastAsia="en-AU"/>
        </w:rPr>
        <w:footnoteReference w:id="12"/>
      </w:r>
      <w:r w:rsidR="004139B1" w:rsidRPr="008722C4">
        <w:rPr>
          <w:lang w:eastAsia="en-AU"/>
        </w:rPr>
        <w:t xml:space="preserve"> </w:t>
      </w:r>
      <w:r w:rsidR="0012041F">
        <w:rPr>
          <w:lang w:eastAsia="en-AU"/>
        </w:rPr>
        <w:t xml:space="preserve">In simple terms, ELCC is a measure of the capacity contribution of a particular capacity source based on the additional load that </w:t>
      </w:r>
      <w:r w:rsidR="006E145F">
        <w:rPr>
          <w:lang w:eastAsia="en-AU"/>
        </w:rPr>
        <w:t>the capacity source</w:t>
      </w:r>
      <w:r w:rsidR="0012041F">
        <w:rPr>
          <w:lang w:eastAsia="en-AU"/>
        </w:rPr>
        <w:t xml:space="preserve"> can supply</w:t>
      </w:r>
      <w:r w:rsidR="006E145F">
        <w:rPr>
          <w:lang w:eastAsia="en-AU"/>
        </w:rPr>
        <w:t xml:space="preserve"> when it is introduced to the system</w:t>
      </w:r>
      <w:r w:rsidR="0012041F">
        <w:rPr>
          <w:lang w:eastAsia="en-AU"/>
        </w:rPr>
        <w:t>, without</w:t>
      </w:r>
      <w:r w:rsidR="006E145F">
        <w:rPr>
          <w:lang w:eastAsia="en-AU"/>
        </w:rPr>
        <w:t xml:space="preserve"> changing</w:t>
      </w:r>
      <w:r w:rsidR="0012041F">
        <w:rPr>
          <w:lang w:eastAsia="en-AU"/>
        </w:rPr>
        <w:t xml:space="preserve"> the level of reliability of the system. </w:t>
      </w:r>
      <w:r w:rsidR="004139B1" w:rsidRPr="008722C4">
        <w:rPr>
          <w:lang w:eastAsia="en-AU"/>
        </w:rPr>
        <w:t xml:space="preserve">For controllable generators, </w:t>
      </w:r>
      <w:r w:rsidR="004139B1" w:rsidRPr="00FC3F0E">
        <w:rPr>
          <w:lang w:eastAsia="en-AU"/>
        </w:rPr>
        <w:t xml:space="preserve">which have relatively small variation in availability, the ELCC </w:t>
      </w:r>
      <w:r w:rsidR="00102928" w:rsidRPr="00FC3F0E">
        <w:rPr>
          <w:lang w:eastAsia="en-AU"/>
        </w:rPr>
        <w:t xml:space="preserve">of a generator </w:t>
      </w:r>
      <w:r w:rsidR="00102928" w:rsidRPr="008722C4">
        <w:rPr>
          <w:lang w:eastAsia="en-AU"/>
        </w:rPr>
        <w:t xml:space="preserve">is likely to </w:t>
      </w:r>
      <w:r w:rsidR="004139B1" w:rsidRPr="00FC3F0E">
        <w:rPr>
          <w:lang w:eastAsia="en-AU"/>
        </w:rPr>
        <w:t xml:space="preserve">be similar to the </w:t>
      </w:r>
      <w:r w:rsidR="00102928" w:rsidRPr="00FC3F0E">
        <w:rPr>
          <w:lang w:eastAsia="en-AU"/>
        </w:rPr>
        <w:t xml:space="preserve">installed capacity of that </w:t>
      </w:r>
      <w:r w:rsidR="004139B1" w:rsidRPr="00FC3F0E">
        <w:rPr>
          <w:lang w:eastAsia="en-AU"/>
        </w:rPr>
        <w:t>generator. Accordingly, for convenience, a short form of the process to determine ELCC may be us</w:t>
      </w:r>
      <w:r w:rsidR="00102928" w:rsidRPr="00FC3F0E">
        <w:rPr>
          <w:lang w:eastAsia="en-AU"/>
        </w:rPr>
        <w:t>ed for controllable generators (see section 5.1). For intermittent plant, where availability is relatively more variable, calculation of the ELCC is more challenging and requires a modelling exercise to be undertaken (see section 5.2).</w:t>
      </w:r>
    </w:p>
    <w:p w14:paraId="783F6E08" w14:textId="4CF11702" w:rsidR="005E4A9D" w:rsidRDefault="00B600F9" w:rsidP="00957245">
      <w:pPr>
        <w:rPr>
          <w:lang w:eastAsia="en-AU"/>
        </w:rPr>
      </w:pPr>
      <w:r w:rsidRPr="00FC3F0E">
        <w:rPr>
          <w:lang w:eastAsia="en-AU"/>
        </w:rPr>
        <w:t>Section 5.3</w:t>
      </w:r>
      <w:r w:rsidR="00EE49AE" w:rsidRPr="00FC3F0E">
        <w:rPr>
          <w:lang w:eastAsia="en-AU"/>
        </w:rPr>
        <w:t xml:space="preserve"> discusses the implications</w:t>
      </w:r>
      <w:r w:rsidR="00EE49AE">
        <w:rPr>
          <w:lang w:eastAsia="en-AU"/>
        </w:rPr>
        <w:t xml:space="preserve"> o</w:t>
      </w:r>
      <w:r w:rsidR="00A77723">
        <w:rPr>
          <w:lang w:eastAsia="en-AU"/>
        </w:rPr>
        <w:t>n</w:t>
      </w:r>
      <w:r w:rsidR="00EE49AE">
        <w:rPr>
          <w:lang w:eastAsia="en-AU"/>
        </w:rPr>
        <w:t xml:space="preserve"> new entrants for the accreditation of existing </w:t>
      </w:r>
      <w:r w:rsidR="00AB3941">
        <w:rPr>
          <w:lang w:eastAsia="en-AU"/>
        </w:rPr>
        <w:t xml:space="preserve">plant </w:t>
      </w:r>
      <w:r w:rsidR="00EE49AE">
        <w:rPr>
          <w:lang w:eastAsia="en-AU"/>
        </w:rPr>
        <w:t>(incumbent</w:t>
      </w:r>
      <w:r w:rsidR="00AB3941">
        <w:rPr>
          <w:lang w:eastAsia="en-AU"/>
        </w:rPr>
        <w:t xml:space="preserve"> or early movers</w:t>
      </w:r>
      <w:r w:rsidR="00EE49AE">
        <w:rPr>
          <w:lang w:eastAsia="en-AU"/>
        </w:rPr>
        <w:t xml:space="preserve">) </w:t>
      </w:r>
      <w:r w:rsidR="007A1A87">
        <w:rPr>
          <w:lang w:eastAsia="en-AU"/>
        </w:rPr>
        <w:t xml:space="preserve">and whether protection of the accreditation of existing </w:t>
      </w:r>
      <w:r w:rsidR="00ED1A9A">
        <w:rPr>
          <w:lang w:eastAsia="en-AU"/>
        </w:rPr>
        <w:t>plan</w:t>
      </w:r>
      <w:r w:rsidR="00A77723">
        <w:rPr>
          <w:lang w:eastAsia="en-AU"/>
        </w:rPr>
        <w:t>t</w:t>
      </w:r>
      <w:r w:rsidR="00ED1A9A">
        <w:rPr>
          <w:lang w:eastAsia="en-AU"/>
        </w:rPr>
        <w:t xml:space="preserve"> in order to de-risk investment </w:t>
      </w:r>
      <w:r w:rsidR="007A1A87">
        <w:rPr>
          <w:lang w:eastAsia="en-AU"/>
        </w:rPr>
        <w:t>is likely to impede or facilitate efficient investment in capacity.</w:t>
      </w:r>
    </w:p>
    <w:p w14:paraId="73E8D1C2" w14:textId="0CE62145" w:rsidR="00216187" w:rsidRDefault="00216187" w:rsidP="00957245">
      <w:pPr>
        <w:rPr>
          <w:lang w:eastAsia="en-AU"/>
        </w:rPr>
      </w:pPr>
      <w:r>
        <w:rPr>
          <w:lang w:eastAsia="en-AU"/>
        </w:rPr>
        <w:t xml:space="preserve">While all plant </w:t>
      </w:r>
      <w:r w:rsidR="00A77723">
        <w:rPr>
          <w:lang w:eastAsia="en-AU"/>
        </w:rPr>
        <w:t>may</w:t>
      </w:r>
      <w:r>
        <w:rPr>
          <w:lang w:eastAsia="en-AU"/>
        </w:rPr>
        <w:t xml:space="preserve"> be given accreditation, it does not automatically mean that all plant receives a </w:t>
      </w:r>
      <w:r w:rsidR="00286D8E">
        <w:rPr>
          <w:lang w:eastAsia="en-AU"/>
        </w:rPr>
        <w:t xml:space="preserve">payment for </w:t>
      </w:r>
      <w:r>
        <w:rPr>
          <w:lang w:eastAsia="en-AU"/>
        </w:rPr>
        <w:t xml:space="preserve">capacity </w:t>
      </w:r>
      <w:r w:rsidR="00735A05">
        <w:rPr>
          <w:lang w:eastAsia="en-AU"/>
        </w:rPr>
        <w:t>in the same way that not all plant that responds to a traditional PPA tender would be awarded a contract</w:t>
      </w:r>
      <w:r>
        <w:rPr>
          <w:lang w:eastAsia="en-AU"/>
        </w:rPr>
        <w:t xml:space="preserve">. </w:t>
      </w:r>
      <w:r w:rsidR="00ED1A9A">
        <w:rPr>
          <w:lang w:eastAsia="en-AU"/>
        </w:rPr>
        <w:t>Sources of c</w:t>
      </w:r>
      <w:r>
        <w:rPr>
          <w:lang w:eastAsia="en-AU"/>
        </w:rPr>
        <w:t xml:space="preserve">apacity will only </w:t>
      </w:r>
      <w:r w:rsidR="00ED1A9A">
        <w:rPr>
          <w:lang w:eastAsia="en-AU"/>
        </w:rPr>
        <w:t xml:space="preserve">receive payment for that capacity when it is </w:t>
      </w:r>
      <w:r>
        <w:rPr>
          <w:lang w:eastAsia="en-AU"/>
        </w:rPr>
        <w:t xml:space="preserve">accredited </w:t>
      </w:r>
      <w:r w:rsidR="00ED1A9A">
        <w:rPr>
          <w:lang w:eastAsia="en-AU"/>
        </w:rPr>
        <w:t xml:space="preserve">and </w:t>
      </w:r>
      <w:r>
        <w:rPr>
          <w:lang w:eastAsia="en-AU"/>
        </w:rPr>
        <w:t>contracted by a retailer for the purposes of fulfilling its capacity obligation</w:t>
      </w:r>
      <w:r w:rsidR="00735A05">
        <w:rPr>
          <w:lang w:eastAsia="en-AU"/>
        </w:rPr>
        <w:t xml:space="preserve"> or acquired by the Reliability Manager</w:t>
      </w:r>
      <w:r>
        <w:rPr>
          <w:lang w:eastAsia="en-AU"/>
        </w:rPr>
        <w:t>. The total amount of contracted accredited plant necessary to meet the reliability standard is determined by the Reliability Manager</w:t>
      </w:r>
      <w:r w:rsidR="00D9211A">
        <w:rPr>
          <w:lang w:eastAsia="en-AU"/>
        </w:rPr>
        <w:t>. R</w:t>
      </w:r>
      <w:r>
        <w:rPr>
          <w:lang w:eastAsia="en-AU"/>
        </w:rPr>
        <w:t>etailers’ procurement choices will determine what accredited plant actually receives capacity payments</w:t>
      </w:r>
      <w:r w:rsidR="00ED1A9A">
        <w:rPr>
          <w:lang w:eastAsia="en-AU"/>
        </w:rPr>
        <w:t xml:space="preserve"> (which may be set out within contracts between retailers and capacity sources)</w:t>
      </w:r>
      <w:r>
        <w:rPr>
          <w:lang w:eastAsia="en-AU"/>
        </w:rPr>
        <w:t xml:space="preserve">. </w:t>
      </w:r>
    </w:p>
    <w:p w14:paraId="346D1D59" w14:textId="7FC10457" w:rsidR="00957245" w:rsidRDefault="00ED1A9A" w:rsidP="001E5398">
      <w:pPr>
        <w:pStyle w:val="Heading2"/>
        <w:keepNext/>
        <w:rPr>
          <w:lang w:eastAsia="en-AU"/>
        </w:rPr>
      </w:pPr>
      <w:bookmarkStart w:id="15" w:name="_Toc59188470"/>
      <w:r>
        <w:rPr>
          <w:lang w:eastAsia="en-AU"/>
        </w:rPr>
        <w:t>Controllable capacity</w:t>
      </w:r>
      <w:bookmarkEnd w:id="15"/>
    </w:p>
    <w:p w14:paraId="64C7D58F" w14:textId="4C46A820" w:rsidR="00FA7358" w:rsidRPr="007A1A87" w:rsidRDefault="00E17262" w:rsidP="001E5398">
      <w:pPr>
        <w:keepNext/>
        <w:rPr>
          <w:lang w:eastAsia="en-AU"/>
        </w:rPr>
      </w:pPr>
      <w:r>
        <w:rPr>
          <w:lang w:eastAsia="en-AU"/>
        </w:rPr>
        <w:t>In the Territory, current controllable plant is primarily gas fired thermal plant. These plant</w:t>
      </w:r>
      <w:r w:rsidR="00FA7358" w:rsidRPr="007A1A87">
        <w:rPr>
          <w:lang w:eastAsia="en-AU"/>
        </w:rPr>
        <w:t xml:space="preserve"> typically have substantial flexibility and </w:t>
      </w:r>
      <w:r w:rsidR="007A1A87">
        <w:rPr>
          <w:lang w:eastAsia="en-AU"/>
        </w:rPr>
        <w:t xml:space="preserve">a </w:t>
      </w:r>
      <w:r w:rsidR="00FA7358" w:rsidRPr="007A1A87">
        <w:rPr>
          <w:lang w:eastAsia="en-AU"/>
        </w:rPr>
        <w:t xml:space="preserve">controllable fuel supply allowing them to be called on at any time. As a result, the contribution of thermal units to reliability is </w:t>
      </w:r>
      <w:r w:rsidR="007A1A87">
        <w:rPr>
          <w:lang w:eastAsia="en-AU"/>
        </w:rPr>
        <w:t xml:space="preserve">most likely </w:t>
      </w:r>
      <w:r w:rsidR="00FA7358" w:rsidRPr="007A1A87">
        <w:rPr>
          <w:lang w:eastAsia="en-AU"/>
        </w:rPr>
        <w:t xml:space="preserve">limited by factors such </w:t>
      </w:r>
      <w:r w:rsidR="00D9211A">
        <w:rPr>
          <w:lang w:eastAsia="en-AU"/>
        </w:rPr>
        <w:t xml:space="preserve">as </w:t>
      </w:r>
      <w:r w:rsidR="00FA7358" w:rsidRPr="007A1A87">
        <w:rPr>
          <w:lang w:eastAsia="en-AU"/>
        </w:rPr>
        <w:t>planned and unplanned maintenance</w:t>
      </w:r>
      <w:r w:rsidR="007A1A87">
        <w:rPr>
          <w:lang w:eastAsia="en-AU"/>
        </w:rPr>
        <w:t>,</w:t>
      </w:r>
      <w:r w:rsidR="00FA7358" w:rsidRPr="007A1A87">
        <w:rPr>
          <w:lang w:eastAsia="en-AU"/>
        </w:rPr>
        <w:t xml:space="preserve"> and for plant </w:t>
      </w:r>
      <w:r w:rsidR="007A1A87">
        <w:rPr>
          <w:lang w:eastAsia="en-AU"/>
        </w:rPr>
        <w:t xml:space="preserve">that is </w:t>
      </w:r>
      <w:r w:rsidR="00FA7358" w:rsidRPr="007A1A87">
        <w:rPr>
          <w:lang w:eastAsia="en-AU"/>
        </w:rPr>
        <w:t>regularly stopped and started</w:t>
      </w:r>
      <w:r w:rsidR="007A1A87">
        <w:rPr>
          <w:lang w:eastAsia="en-AU"/>
        </w:rPr>
        <w:t>,</w:t>
      </w:r>
      <w:r w:rsidR="00FA7358" w:rsidRPr="007A1A87">
        <w:rPr>
          <w:lang w:eastAsia="en-AU"/>
        </w:rPr>
        <w:t xml:space="preserve"> the</w:t>
      </w:r>
      <w:r w:rsidR="007A1A87">
        <w:rPr>
          <w:lang w:eastAsia="en-AU"/>
        </w:rPr>
        <w:t>re is the</w:t>
      </w:r>
      <w:r w:rsidR="00FA7358" w:rsidRPr="007A1A87">
        <w:rPr>
          <w:lang w:eastAsia="en-AU"/>
        </w:rPr>
        <w:t xml:space="preserve"> probability of ‘fail to start’ when instructed.</w:t>
      </w:r>
      <w:r w:rsidR="009C3F1D">
        <w:rPr>
          <w:lang w:eastAsia="en-AU"/>
        </w:rPr>
        <w:t xml:space="preserve"> </w:t>
      </w:r>
    </w:p>
    <w:p w14:paraId="00ADECE2" w14:textId="4DACC18B" w:rsidR="00B600F9" w:rsidRPr="00FC3F0E" w:rsidRDefault="00FA7358" w:rsidP="00232B01">
      <w:pPr>
        <w:rPr>
          <w:lang w:eastAsia="en-AU"/>
        </w:rPr>
      </w:pPr>
      <w:r w:rsidRPr="007A1A87">
        <w:rPr>
          <w:lang w:eastAsia="en-AU"/>
        </w:rPr>
        <w:t xml:space="preserve">Accreditation of each </w:t>
      </w:r>
      <w:r w:rsidR="00E17262">
        <w:rPr>
          <w:lang w:eastAsia="en-AU"/>
        </w:rPr>
        <w:t xml:space="preserve">controllable </w:t>
      </w:r>
      <w:r w:rsidRPr="007A1A87">
        <w:rPr>
          <w:lang w:eastAsia="en-AU"/>
        </w:rPr>
        <w:t xml:space="preserve">unit </w:t>
      </w:r>
      <w:r w:rsidR="00BB3C9A">
        <w:rPr>
          <w:lang w:eastAsia="en-AU"/>
        </w:rPr>
        <w:t xml:space="preserve">is proposed to </w:t>
      </w:r>
      <w:r w:rsidRPr="007A1A87">
        <w:rPr>
          <w:lang w:eastAsia="en-AU"/>
        </w:rPr>
        <w:t xml:space="preserve">be through a discount factor on installed capacity. The factor will be set based on </w:t>
      </w:r>
      <w:r w:rsidRPr="00FC3F0E">
        <w:rPr>
          <w:lang w:eastAsia="en-AU"/>
        </w:rPr>
        <w:t>unplanned loss of availability over the previous 12 month</w:t>
      </w:r>
      <w:r w:rsidR="00972EEB" w:rsidRPr="00FC3F0E">
        <w:rPr>
          <w:lang w:eastAsia="en-AU"/>
        </w:rPr>
        <w:t xml:space="preserve"> period</w:t>
      </w:r>
      <w:r w:rsidRPr="00FC3F0E">
        <w:rPr>
          <w:lang w:eastAsia="en-AU"/>
        </w:rPr>
        <w:t xml:space="preserve">. </w:t>
      </w:r>
    </w:p>
    <w:p w14:paraId="7EEEC0DA" w14:textId="7FFBF9DF" w:rsidR="00913906" w:rsidRPr="00FC3F0E" w:rsidRDefault="00FA7358" w:rsidP="00232B01">
      <w:pPr>
        <w:rPr>
          <w:lang w:eastAsia="en-AU"/>
        </w:rPr>
      </w:pPr>
      <w:r w:rsidRPr="00FC3F0E">
        <w:rPr>
          <w:lang w:eastAsia="en-AU"/>
        </w:rPr>
        <w:t xml:space="preserve">Unplanned loss of availability </w:t>
      </w:r>
      <w:r w:rsidR="00972EEB" w:rsidRPr="00FC3F0E">
        <w:rPr>
          <w:lang w:eastAsia="en-AU"/>
        </w:rPr>
        <w:t>includes</w:t>
      </w:r>
      <w:r w:rsidR="00913906" w:rsidRPr="00FC3F0E">
        <w:rPr>
          <w:lang w:eastAsia="en-AU"/>
        </w:rPr>
        <w:t>:</w:t>
      </w:r>
    </w:p>
    <w:p w14:paraId="2D694669" w14:textId="7BF8F65E" w:rsidR="00913906" w:rsidRPr="00FC3F0E" w:rsidRDefault="00972EEB" w:rsidP="00587184">
      <w:pPr>
        <w:pStyle w:val="ListParagraph"/>
        <w:numPr>
          <w:ilvl w:val="0"/>
          <w:numId w:val="61"/>
        </w:numPr>
        <w:ind w:left="426"/>
        <w:rPr>
          <w:lang w:eastAsia="en-AU"/>
        </w:rPr>
      </w:pPr>
      <w:r w:rsidRPr="00FC3F0E">
        <w:rPr>
          <w:lang w:eastAsia="en-AU"/>
        </w:rPr>
        <w:t>instances of unavailable capacity</w:t>
      </w:r>
      <w:r w:rsidR="00FA7358" w:rsidRPr="00FC3F0E">
        <w:rPr>
          <w:lang w:eastAsia="en-AU"/>
        </w:rPr>
        <w:t xml:space="preserve"> that were not pre-approved by the System Controller 48 hours in advance </w:t>
      </w:r>
      <w:r w:rsidRPr="00FC3F0E">
        <w:rPr>
          <w:lang w:eastAsia="en-AU"/>
        </w:rPr>
        <w:t>(although discretion may be given where a shorter period of advice was given and the System Controller expected that sufficient capacity would be available)</w:t>
      </w:r>
      <w:r w:rsidR="00913906" w:rsidRPr="00FC3F0E">
        <w:rPr>
          <w:lang w:eastAsia="en-AU"/>
        </w:rPr>
        <w:t xml:space="preserve">; </w:t>
      </w:r>
      <w:r w:rsidRPr="00FC3F0E">
        <w:rPr>
          <w:lang w:eastAsia="en-AU"/>
        </w:rPr>
        <w:t xml:space="preserve">and </w:t>
      </w:r>
    </w:p>
    <w:p w14:paraId="77D3DF41" w14:textId="53D67E9E" w:rsidR="00232B01" w:rsidRPr="00FC3F0E" w:rsidRDefault="00972EEB" w:rsidP="00B73848">
      <w:pPr>
        <w:pStyle w:val="ListParagraph"/>
        <w:numPr>
          <w:ilvl w:val="0"/>
          <w:numId w:val="61"/>
        </w:numPr>
        <w:spacing w:after="200"/>
        <w:ind w:left="425" w:hanging="357"/>
        <w:rPr>
          <w:lang w:eastAsia="en-AU"/>
        </w:rPr>
      </w:pPr>
      <w:proofErr w:type="gramStart"/>
      <w:r w:rsidRPr="00FC3F0E">
        <w:rPr>
          <w:lang w:eastAsia="en-AU"/>
        </w:rPr>
        <w:t>failures</w:t>
      </w:r>
      <w:proofErr w:type="gramEnd"/>
      <w:r w:rsidRPr="00FC3F0E">
        <w:rPr>
          <w:lang w:eastAsia="en-AU"/>
        </w:rPr>
        <w:t xml:space="preserve"> to start within </w:t>
      </w:r>
      <w:r w:rsidR="00FA7358" w:rsidRPr="00FC3F0E">
        <w:rPr>
          <w:lang w:eastAsia="en-AU"/>
        </w:rPr>
        <w:t xml:space="preserve">30 minutes of the time indicated in </w:t>
      </w:r>
      <w:r w:rsidRPr="00FC3F0E">
        <w:rPr>
          <w:lang w:eastAsia="en-AU"/>
        </w:rPr>
        <w:t xml:space="preserve">a generator’s </w:t>
      </w:r>
      <w:r w:rsidR="00FA7358" w:rsidRPr="00FC3F0E">
        <w:rPr>
          <w:lang w:eastAsia="en-AU"/>
        </w:rPr>
        <w:t>submission</w:t>
      </w:r>
      <w:r w:rsidRPr="00FC3F0E">
        <w:rPr>
          <w:lang w:eastAsia="en-AU"/>
        </w:rPr>
        <w:t xml:space="preserve"> </w:t>
      </w:r>
      <w:r w:rsidR="00FA7358" w:rsidRPr="00FC3F0E">
        <w:rPr>
          <w:lang w:eastAsia="en-AU"/>
        </w:rPr>
        <w:t xml:space="preserve">which the System Controller </w:t>
      </w:r>
      <w:r w:rsidRPr="00FC3F0E">
        <w:rPr>
          <w:lang w:eastAsia="en-AU"/>
        </w:rPr>
        <w:t xml:space="preserve">has </w:t>
      </w:r>
      <w:r w:rsidR="00232B01" w:rsidRPr="00FC3F0E">
        <w:rPr>
          <w:lang w:eastAsia="en-AU"/>
        </w:rPr>
        <w:t xml:space="preserve">used to make </w:t>
      </w:r>
      <w:r w:rsidRPr="00FC3F0E">
        <w:rPr>
          <w:lang w:eastAsia="en-AU"/>
        </w:rPr>
        <w:t>a</w:t>
      </w:r>
      <w:r w:rsidR="00FA7358" w:rsidRPr="00FC3F0E">
        <w:rPr>
          <w:lang w:eastAsia="en-AU"/>
        </w:rPr>
        <w:t xml:space="preserve"> decision</w:t>
      </w:r>
      <w:r w:rsidRPr="00FC3F0E">
        <w:rPr>
          <w:lang w:eastAsia="en-AU"/>
        </w:rPr>
        <w:t xml:space="preserve"> </w:t>
      </w:r>
      <w:r w:rsidR="00FA7358" w:rsidRPr="00FC3F0E">
        <w:rPr>
          <w:lang w:eastAsia="en-AU"/>
        </w:rPr>
        <w:t xml:space="preserve">to call </w:t>
      </w:r>
      <w:r w:rsidRPr="00FC3F0E">
        <w:rPr>
          <w:lang w:eastAsia="en-AU"/>
        </w:rPr>
        <w:t>a</w:t>
      </w:r>
      <w:r w:rsidR="00232B01" w:rsidRPr="00FC3F0E">
        <w:rPr>
          <w:lang w:eastAsia="en-AU"/>
        </w:rPr>
        <w:t xml:space="preserve"> unit into service. </w:t>
      </w:r>
    </w:p>
    <w:p w14:paraId="1545B650" w14:textId="1244D306" w:rsidR="00353B19" w:rsidRDefault="00C14583" w:rsidP="008722C4">
      <w:pPr>
        <w:spacing w:after="240"/>
        <w:ind w:left="68"/>
        <w:rPr>
          <w:lang w:eastAsia="en-AU"/>
        </w:rPr>
      </w:pPr>
      <w:r w:rsidRPr="008722C4">
        <w:rPr>
          <w:lang w:eastAsia="en-AU"/>
        </w:rPr>
        <w:t>As noted above, this is a short form of the ELCC approach process. While it would be possible to apply the long form of the ELCC process, it is not necessary for controllable plant, and this simpler approach remains consistent with the ELCC concept.</w:t>
      </w:r>
    </w:p>
    <w:tbl>
      <w:tblPr>
        <w:tblStyle w:val="TableGrid"/>
        <w:tblW w:w="0" w:type="auto"/>
        <w:tblInd w:w="66" w:type="dxa"/>
        <w:tblLook w:val="04A0" w:firstRow="1" w:lastRow="0" w:firstColumn="1" w:lastColumn="0" w:noHBand="0" w:noVBand="1"/>
      </w:tblPr>
      <w:tblGrid>
        <w:gridCol w:w="10242"/>
      </w:tblGrid>
      <w:tr w:rsidR="00592571" w14:paraId="0B950451" w14:textId="77777777" w:rsidTr="00A84DC7">
        <w:tc>
          <w:tcPr>
            <w:tcW w:w="10242" w:type="dxa"/>
          </w:tcPr>
          <w:p w14:paraId="2D941B6E" w14:textId="6039AB9C" w:rsidR="00592571" w:rsidRPr="00592571" w:rsidRDefault="009A4556" w:rsidP="00592571">
            <w:pPr>
              <w:spacing w:before="200"/>
              <w:rPr>
                <w:b/>
              </w:rPr>
            </w:pPr>
            <w:r w:rsidRPr="009A4556">
              <w:rPr>
                <w:b/>
                <w:bCs/>
                <w:caps/>
              </w:rPr>
              <w:lastRenderedPageBreak/>
              <w:t>Consultation question</w:t>
            </w:r>
            <w:r w:rsidR="00592571" w:rsidRPr="00592571">
              <w:rPr>
                <w:b/>
              </w:rPr>
              <w:t>:</w:t>
            </w:r>
          </w:p>
          <w:p w14:paraId="25ED10CC" w14:textId="7789DD3D" w:rsidR="00592571" w:rsidRDefault="00592571" w:rsidP="00592571">
            <w:pPr>
              <w:pStyle w:val="ListParagraph"/>
              <w:numPr>
                <w:ilvl w:val="0"/>
                <w:numId w:val="65"/>
              </w:numPr>
              <w:spacing w:before="200" w:after="200"/>
            </w:pPr>
            <w:r>
              <w:t xml:space="preserve">Is a more complex process warranted for determining accreditation of </w:t>
            </w:r>
            <w:r w:rsidR="00E17262">
              <w:t xml:space="preserve">controllable </w:t>
            </w:r>
            <w:r>
              <w:t xml:space="preserve">units? If so, please </w:t>
            </w:r>
            <w:r w:rsidR="00C14583">
              <w:t xml:space="preserve">explain why, and </w:t>
            </w:r>
            <w:r>
              <w:t>describe your proposed process.</w:t>
            </w:r>
          </w:p>
          <w:p w14:paraId="02658467" w14:textId="12A15BBE" w:rsidR="00592571" w:rsidRDefault="00592571" w:rsidP="00592571">
            <w:pPr>
              <w:pStyle w:val="ListParagraph"/>
              <w:numPr>
                <w:ilvl w:val="0"/>
                <w:numId w:val="65"/>
              </w:numPr>
              <w:spacing w:before="200" w:after="200"/>
            </w:pPr>
            <w:r>
              <w:t>Are the proposed timeframes (previous 12 month performance; 48 hour pre-approval; 30 minute start window) suitable for deriving the discount factor?</w:t>
            </w:r>
          </w:p>
        </w:tc>
      </w:tr>
    </w:tbl>
    <w:p w14:paraId="2071AE08" w14:textId="06DD24B1" w:rsidR="00957245" w:rsidRPr="00FC3F0E" w:rsidRDefault="00E17262" w:rsidP="00957245">
      <w:pPr>
        <w:pStyle w:val="Heading2"/>
        <w:rPr>
          <w:lang w:eastAsia="en-AU"/>
        </w:rPr>
      </w:pPr>
      <w:bookmarkStart w:id="16" w:name="_Toc59188471"/>
      <w:r w:rsidRPr="00FC3F0E">
        <w:rPr>
          <w:lang w:eastAsia="en-AU"/>
        </w:rPr>
        <w:t>I</w:t>
      </w:r>
      <w:r w:rsidR="00434681" w:rsidRPr="00FC3F0E">
        <w:rPr>
          <w:lang w:eastAsia="en-AU"/>
        </w:rPr>
        <w:t xml:space="preserve">ntermittent </w:t>
      </w:r>
      <w:r w:rsidR="00957245" w:rsidRPr="00FC3F0E">
        <w:rPr>
          <w:lang w:eastAsia="en-AU"/>
        </w:rPr>
        <w:t>generat</w:t>
      </w:r>
      <w:r w:rsidR="00434681" w:rsidRPr="00FC3F0E">
        <w:rPr>
          <w:lang w:eastAsia="en-AU"/>
        </w:rPr>
        <w:t>ion</w:t>
      </w:r>
      <w:r w:rsidR="00957245" w:rsidRPr="00FC3F0E">
        <w:rPr>
          <w:lang w:eastAsia="en-AU"/>
        </w:rPr>
        <w:t xml:space="preserve"> and storage</w:t>
      </w:r>
      <w:bookmarkEnd w:id="16"/>
    </w:p>
    <w:p w14:paraId="442E3A5A" w14:textId="756057E1" w:rsidR="006D5BF6" w:rsidRPr="00FC3F0E" w:rsidRDefault="005D2297" w:rsidP="00957245">
      <w:pPr>
        <w:rPr>
          <w:lang w:eastAsia="en-AU"/>
        </w:rPr>
      </w:pPr>
      <w:r w:rsidRPr="008722C4">
        <w:rPr>
          <w:lang w:eastAsia="en-AU"/>
        </w:rPr>
        <w:t>I</w:t>
      </w:r>
      <w:r w:rsidR="00434681" w:rsidRPr="008722C4">
        <w:rPr>
          <w:lang w:eastAsia="en-AU"/>
        </w:rPr>
        <w:t>ntermittent</w:t>
      </w:r>
      <w:r w:rsidR="00957245" w:rsidRPr="008722C4">
        <w:rPr>
          <w:lang w:eastAsia="en-AU"/>
        </w:rPr>
        <w:t xml:space="preserve"> </w:t>
      </w:r>
      <w:r w:rsidR="00012DCA" w:rsidRPr="008722C4">
        <w:rPr>
          <w:lang w:eastAsia="en-AU"/>
        </w:rPr>
        <w:t>g</w:t>
      </w:r>
      <w:r w:rsidR="00957245" w:rsidRPr="008722C4">
        <w:rPr>
          <w:lang w:eastAsia="en-AU"/>
        </w:rPr>
        <w:t xml:space="preserve">eneration </w:t>
      </w:r>
      <w:r w:rsidRPr="008722C4">
        <w:rPr>
          <w:lang w:eastAsia="en-AU"/>
        </w:rPr>
        <w:t xml:space="preserve">and storage </w:t>
      </w:r>
      <w:r w:rsidR="00957245" w:rsidRPr="008722C4">
        <w:rPr>
          <w:lang w:eastAsia="en-AU"/>
        </w:rPr>
        <w:t xml:space="preserve">is </w:t>
      </w:r>
      <w:r w:rsidR="00216187" w:rsidRPr="008722C4">
        <w:rPr>
          <w:lang w:eastAsia="en-AU"/>
        </w:rPr>
        <w:t xml:space="preserve">proposed </w:t>
      </w:r>
      <w:r w:rsidR="00957245" w:rsidRPr="008722C4">
        <w:rPr>
          <w:lang w:eastAsia="en-AU"/>
        </w:rPr>
        <w:t>to be accredited using the concept of the ELCC</w:t>
      </w:r>
      <w:r w:rsidR="00C14583" w:rsidRPr="008722C4">
        <w:rPr>
          <w:lang w:eastAsia="en-AU"/>
        </w:rPr>
        <w:t xml:space="preserve"> </w:t>
      </w:r>
      <w:r w:rsidRPr="008722C4">
        <w:rPr>
          <w:lang w:eastAsia="en-AU"/>
        </w:rPr>
        <w:t>using the</w:t>
      </w:r>
      <w:r w:rsidR="00C14583" w:rsidRPr="008722C4">
        <w:rPr>
          <w:lang w:eastAsia="en-AU"/>
        </w:rPr>
        <w:t xml:space="preserve"> longer form of the process</w:t>
      </w:r>
      <w:r w:rsidRPr="008722C4">
        <w:rPr>
          <w:lang w:eastAsia="en-AU"/>
        </w:rPr>
        <w:t xml:space="preserve"> due to the relatively greater variability of availability of such plant</w:t>
      </w:r>
      <w:r w:rsidR="00957245" w:rsidRPr="008722C4">
        <w:rPr>
          <w:lang w:eastAsia="en-AU"/>
        </w:rPr>
        <w:t xml:space="preserve">. </w:t>
      </w:r>
      <w:r w:rsidR="00C14583" w:rsidRPr="008722C4">
        <w:rPr>
          <w:lang w:eastAsia="en-AU"/>
        </w:rPr>
        <w:t>Under the approach, t</w:t>
      </w:r>
      <w:r w:rsidR="00957245" w:rsidRPr="008722C4">
        <w:rPr>
          <w:lang w:eastAsia="en-AU"/>
        </w:rPr>
        <w:t>he</w:t>
      </w:r>
      <w:r w:rsidR="00957245" w:rsidRPr="00FC3F0E">
        <w:rPr>
          <w:lang w:eastAsia="en-AU"/>
        </w:rPr>
        <w:t xml:space="preserve"> ELCC </w:t>
      </w:r>
      <w:r w:rsidR="00C14583" w:rsidRPr="00FC3F0E">
        <w:rPr>
          <w:lang w:eastAsia="en-AU"/>
        </w:rPr>
        <w:t xml:space="preserve">will </w:t>
      </w:r>
      <w:r w:rsidR="00957245" w:rsidRPr="00FC3F0E">
        <w:rPr>
          <w:lang w:eastAsia="en-AU"/>
        </w:rPr>
        <w:t>identif</w:t>
      </w:r>
      <w:r w:rsidR="00C14583" w:rsidRPr="00FC3F0E">
        <w:rPr>
          <w:lang w:eastAsia="en-AU"/>
        </w:rPr>
        <w:t>y</w:t>
      </w:r>
      <w:r w:rsidR="00957245" w:rsidRPr="00FC3F0E">
        <w:rPr>
          <w:lang w:eastAsia="en-AU"/>
        </w:rPr>
        <w:t xml:space="preserve"> how much additional customer </w:t>
      </w:r>
      <w:r w:rsidR="00012DCA" w:rsidRPr="00FC3F0E">
        <w:rPr>
          <w:lang w:eastAsia="en-AU"/>
        </w:rPr>
        <w:t>demand</w:t>
      </w:r>
      <w:r w:rsidR="00C14583" w:rsidRPr="00FC3F0E">
        <w:rPr>
          <w:lang w:eastAsia="en-AU"/>
        </w:rPr>
        <w:t>,</w:t>
      </w:r>
      <w:r w:rsidR="00957245" w:rsidRPr="00FC3F0E">
        <w:rPr>
          <w:lang w:eastAsia="en-AU"/>
        </w:rPr>
        <w:t xml:space="preserve"> over a base case</w:t>
      </w:r>
      <w:r w:rsidR="00C14583" w:rsidRPr="00FC3F0E">
        <w:rPr>
          <w:lang w:eastAsia="en-AU"/>
        </w:rPr>
        <w:t>,</w:t>
      </w:r>
      <w:r w:rsidR="00957245" w:rsidRPr="00FC3F0E">
        <w:rPr>
          <w:lang w:eastAsia="en-AU"/>
        </w:rPr>
        <w:t xml:space="preserve"> a single plant or group of plant of the same technology </w:t>
      </w:r>
      <w:r w:rsidR="00295F45" w:rsidRPr="00FC3F0E">
        <w:rPr>
          <w:lang w:eastAsia="en-AU"/>
        </w:rPr>
        <w:t xml:space="preserve">(technology group) </w:t>
      </w:r>
      <w:r w:rsidR="00957245" w:rsidRPr="00FC3F0E">
        <w:rPr>
          <w:lang w:eastAsia="en-AU"/>
        </w:rPr>
        <w:t xml:space="preserve">can provide. This becomes the accredited capacity </w:t>
      </w:r>
      <w:r w:rsidR="00295F45" w:rsidRPr="00FC3F0E">
        <w:rPr>
          <w:lang w:eastAsia="en-AU"/>
        </w:rPr>
        <w:t>for</w:t>
      </w:r>
      <w:r w:rsidR="00957245" w:rsidRPr="00FC3F0E">
        <w:rPr>
          <w:lang w:eastAsia="en-AU"/>
        </w:rPr>
        <w:t xml:space="preserve"> the plant or </w:t>
      </w:r>
      <w:r w:rsidR="00295F45" w:rsidRPr="00FC3F0E">
        <w:rPr>
          <w:lang w:eastAsia="en-AU"/>
        </w:rPr>
        <w:t xml:space="preserve">in the case of a </w:t>
      </w:r>
      <w:r w:rsidR="00957245" w:rsidRPr="00FC3F0E">
        <w:rPr>
          <w:lang w:eastAsia="en-AU"/>
        </w:rPr>
        <w:t>technology group</w:t>
      </w:r>
      <w:r w:rsidR="00295F45" w:rsidRPr="00FC3F0E">
        <w:rPr>
          <w:lang w:eastAsia="en-AU"/>
        </w:rPr>
        <w:t>,</w:t>
      </w:r>
      <w:r w:rsidR="00957245" w:rsidRPr="00FC3F0E">
        <w:rPr>
          <w:lang w:eastAsia="en-AU"/>
        </w:rPr>
        <w:t xml:space="preserve"> the amount that is to be </w:t>
      </w:r>
      <w:r w:rsidR="00295F45" w:rsidRPr="00FC3F0E">
        <w:rPr>
          <w:lang w:eastAsia="en-AU"/>
        </w:rPr>
        <w:t xml:space="preserve">distributed across plant within the </w:t>
      </w:r>
      <w:r w:rsidR="00957245" w:rsidRPr="00FC3F0E">
        <w:rPr>
          <w:lang w:eastAsia="en-AU"/>
        </w:rPr>
        <w:t xml:space="preserve">group. </w:t>
      </w:r>
    </w:p>
    <w:p w14:paraId="4E20A415" w14:textId="2347D271" w:rsidR="00957245" w:rsidRDefault="00BB3C9A" w:rsidP="00957245">
      <w:pPr>
        <w:rPr>
          <w:lang w:eastAsia="en-AU"/>
        </w:rPr>
      </w:pPr>
      <w:r w:rsidRPr="00FC3F0E">
        <w:rPr>
          <w:lang w:eastAsia="en-AU"/>
        </w:rPr>
        <w:t>The</w:t>
      </w:r>
      <w:r w:rsidR="00957245" w:rsidRPr="00FC3F0E">
        <w:rPr>
          <w:lang w:eastAsia="en-AU"/>
        </w:rPr>
        <w:t xml:space="preserve"> following process is proposed</w:t>
      </w:r>
      <w:r w:rsidR="006D5BF6" w:rsidRPr="00FC3F0E">
        <w:rPr>
          <w:lang w:eastAsia="en-AU"/>
        </w:rPr>
        <w:t xml:space="preserve"> for determining the ELCC and deriving an accredited capacity value for intermittent plant and storage</w:t>
      </w:r>
      <w:r w:rsidR="00957245">
        <w:rPr>
          <w:lang w:eastAsia="en-AU"/>
        </w:rPr>
        <w:t>:</w:t>
      </w:r>
    </w:p>
    <w:p w14:paraId="5543AA9F" w14:textId="0C18569E" w:rsidR="00957245" w:rsidRDefault="00957245" w:rsidP="008722C4">
      <w:pPr>
        <w:pStyle w:val="Tablenumberlistlevel1"/>
        <w:spacing w:after="120"/>
        <w:rPr>
          <w:lang w:eastAsia="en-AU"/>
        </w:rPr>
      </w:pPr>
      <w:r>
        <w:rPr>
          <w:lang w:eastAsia="en-AU"/>
        </w:rPr>
        <w:t xml:space="preserve">Prepare a base case of reliability in a half hourly study using </w:t>
      </w:r>
      <w:r w:rsidR="00C6194B">
        <w:rPr>
          <w:lang w:eastAsia="en-AU"/>
        </w:rPr>
        <w:t>a projection</w:t>
      </w:r>
      <w:r>
        <w:rPr>
          <w:lang w:eastAsia="en-AU"/>
        </w:rPr>
        <w:t xml:space="preserve"> of customer demand (including allowance for variations in behind the meter solar) with all intermittent </w:t>
      </w:r>
      <w:r w:rsidR="00C6194B">
        <w:rPr>
          <w:lang w:eastAsia="en-AU"/>
        </w:rPr>
        <w:t>plant</w:t>
      </w:r>
      <w:r>
        <w:rPr>
          <w:lang w:eastAsia="en-AU"/>
        </w:rPr>
        <w:t xml:space="preserve"> that is to be accredited excluded at this stage</w:t>
      </w:r>
    </w:p>
    <w:p w14:paraId="1FF56C4E" w14:textId="1CBF92E3" w:rsidR="00957245" w:rsidRDefault="00295F45" w:rsidP="008722C4">
      <w:pPr>
        <w:pStyle w:val="Tablenumberlistlevel1"/>
        <w:spacing w:after="120"/>
        <w:rPr>
          <w:lang w:eastAsia="en-AU"/>
        </w:rPr>
      </w:pPr>
      <w:r>
        <w:rPr>
          <w:lang w:eastAsia="en-AU"/>
        </w:rPr>
        <w:t>I</w:t>
      </w:r>
      <w:r w:rsidR="00957245">
        <w:rPr>
          <w:lang w:eastAsia="en-AU"/>
        </w:rPr>
        <w:t xml:space="preserve">ncrease or decrease </w:t>
      </w:r>
      <w:r w:rsidR="00E17262">
        <w:rPr>
          <w:lang w:eastAsia="en-AU"/>
        </w:rPr>
        <w:t xml:space="preserve">controllable </w:t>
      </w:r>
      <w:r w:rsidR="00957245">
        <w:rPr>
          <w:lang w:eastAsia="en-AU"/>
        </w:rPr>
        <w:t xml:space="preserve">plant </w:t>
      </w:r>
      <w:r w:rsidR="00C6194B">
        <w:rPr>
          <w:lang w:eastAsia="en-AU"/>
        </w:rPr>
        <w:t>until</w:t>
      </w:r>
      <w:r w:rsidR="00957245">
        <w:rPr>
          <w:lang w:eastAsia="en-AU"/>
        </w:rPr>
        <w:t xml:space="preserve"> the </w:t>
      </w:r>
      <w:r w:rsidR="00526B82">
        <w:rPr>
          <w:lang w:eastAsia="en-AU"/>
        </w:rPr>
        <w:t>r</w:t>
      </w:r>
      <w:r w:rsidR="00957245">
        <w:rPr>
          <w:lang w:eastAsia="en-AU"/>
        </w:rPr>
        <w:t xml:space="preserve">eliability </w:t>
      </w:r>
      <w:r w:rsidR="00526B82">
        <w:rPr>
          <w:lang w:eastAsia="en-AU"/>
        </w:rPr>
        <w:t>s</w:t>
      </w:r>
      <w:r w:rsidR="00957245">
        <w:rPr>
          <w:lang w:eastAsia="en-AU"/>
        </w:rPr>
        <w:t>tandard is met with no surplus or deficit</w:t>
      </w:r>
    </w:p>
    <w:p w14:paraId="2548BE4F" w14:textId="7C72DDBC" w:rsidR="00526B82" w:rsidRDefault="00957245" w:rsidP="008722C4">
      <w:pPr>
        <w:pStyle w:val="Tablenumberlistlevel1"/>
        <w:spacing w:after="120"/>
        <w:rPr>
          <w:lang w:eastAsia="en-AU"/>
        </w:rPr>
      </w:pPr>
      <w:r>
        <w:rPr>
          <w:lang w:eastAsia="en-AU"/>
        </w:rPr>
        <w:t>Add intermittent plant to be assessed. This will result in an improved level of reliability that exceeds the standard</w:t>
      </w:r>
    </w:p>
    <w:p w14:paraId="72B9AB99" w14:textId="5DB17C3E" w:rsidR="00957245" w:rsidRDefault="00957245" w:rsidP="008722C4">
      <w:pPr>
        <w:pStyle w:val="Tablenumberlistlevel1"/>
        <w:spacing w:after="120"/>
        <w:rPr>
          <w:lang w:eastAsia="en-AU"/>
        </w:rPr>
      </w:pPr>
      <w:r>
        <w:rPr>
          <w:lang w:eastAsia="en-AU"/>
        </w:rPr>
        <w:t xml:space="preserve">Increase demand uniformly </w:t>
      </w:r>
      <w:r w:rsidR="00295F45">
        <w:rPr>
          <w:lang w:eastAsia="en-AU"/>
        </w:rPr>
        <w:t xml:space="preserve">to retain the load shape </w:t>
      </w:r>
      <w:r>
        <w:rPr>
          <w:lang w:eastAsia="en-AU"/>
        </w:rPr>
        <w:t xml:space="preserve">until the level of reliability returns to the standard and note the amount of </w:t>
      </w:r>
      <w:r w:rsidR="00012DCA">
        <w:rPr>
          <w:lang w:eastAsia="en-AU"/>
        </w:rPr>
        <w:t>demand</w:t>
      </w:r>
      <w:r>
        <w:rPr>
          <w:lang w:eastAsia="en-AU"/>
        </w:rPr>
        <w:t xml:space="preserve"> at-risk in each half hour</w:t>
      </w:r>
    </w:p>
    <w:p w14:paraId="57F8F0AF" w14:textId="592D6867" w:rsidR="00957245" w:rsidRDefault="00957245" w:rsidP="008722C4">
      <w:pPr>
        <w:pStyle w:val="Tablenumberlistlevel1"/>
        <w:spacing w:after="120"/>
        <w:rPr>
          <w:lang w:eastAsia="en-AU"/>
        </w:rPr>
      </w:pPr>
      <w:r>
        <w:rPr>
          <w:lang w:eastAsia="en-AU"/>
        </w:rPr>
        <w:t xml:space="preserve">The increase in demand in step 4 is the ELCC. In the case of assessment of a single </w:t>
      </w:r>
      <w:r w:rsidR="00012DCA">
        <w:rPr>
          <w:lang w:eastAsia="en-AU"/>
        </w:rPr>
        <w:t xml:space="preserve">intermittent generation </w:t>
      </w:r>
      <w:r>
        <w:rPr>
          <w:lang w:eastAsia="en-AU"/>
        </w:rPr>
        <w:t>unit</w:t>
      </w:r>
      <w:r w:rsidR="00012DCA">
        <w:rPr>
          <w:lang w:eastAsia="en-AU"/>
        </w:rPr>
        <w:t>,</w:t>
      </w:r>
      <w:r>
        <w:rPr>
          <w:lang w:eastAsia="en-AU"/>
        </w:rPr>
        <w:t xml:space="preserve"> the accredited capacity </w:t>
      </w:r>
      <w:r w:rsidR="00012DCA">
        <w:rPr>
          <w:lang w:eastAsia="en-AU"/>
        </w:rPr>
        <w:t>would be</w:t>
      </w:r>
      <w:r>
        <w:rPr>
          <w:lang w:eastAsia="en-AU"/>
        </w:rPr>
        <w:t xml:space="preserve"> the ELCC. In case </w:t>
      </w:r>
      <w:r w:rsidR="00B90C5C">
        <w:rPr>
          <w:lang w:eastAsia="en-AU"/>
        </w:rPr>
        <w:t xml:space="preserve">where there are multiple existing generators in </w:t>
      </w:r>
      <w:r>
        <w:rPr>
          <w:lang w:eastAsia="en-AU"/>
        </w:rPr>
        <w:t>a</w:t>
      </w:r>
      <w:r w:rsidR="00295F45">
        <w:rPr>
          <w:lang w:eastAsia="en-AU"/>
        </w:rPr>
        <w:t xml:space="preserve"> technology</w:t>
      </w:r>
      <w:r>
        <w:rPr>
          <w:lang w:eastAsia="en-AU"/>
        </w:rPr>
        <w:t xml:space="preserve"> group (e.g. all solar</w:t>
      </w:r>
      <w:r w:rsidR="00B90C5C">
        <w:rPr>
          <w:lang w:eastAsia="en-AU"/>
        </w:rPr>
        <w:t xml:space="preserve"> generators</w:t>
      </w:r>
      <w:r>
        <w:rPr>
          <w:lang w:eastAsia="en-AU"/>
        </w:rPr>
        <w:t>)</w:t>
      </w:r>
      <w:r w:rsidR="00D11872">
        <w:rPr>
          <w:lang w:eastAsia="en-AU"/>
        </w:rPr>
        <w:t>,</w:t>
      </w:r>
      <w:r>
        <w:rPr>
          <w:lang w:eastAsia="en-AU"/>
        </w:rPr>
        <w:t xml:space="preserve"> the ELCC is the </w:t>
      </w:r>
      <w:r w:rsidR="00012DCA">
        <w:rPr>
          <w:lang w:eastAsia="en-AU"/>
        </w:rPr>
        <w:t>total amount of</w:t>
      </w:r>
      <w:r>
        <w:rPr>
          <w:lang w:eastAsia="en-AU"/>
        </w:rPr>
        <w:t xml:space="preserve"> capacity</w:t>
      </w:r>
      <w:r w:rsidR="00012DCA">
        <w:rPr>
          <w:lang w:eastAsia="en-AU"/>
        </w:rPr>
        <w:t xml:space="preserve"> that can</w:t>
      </w:r>
      <w:r>
        <w:rPr>
          <w:lang w:eastAsia="en-AU"/>
        </w:rPr>
        <w:t xml:space="preserve"> be accredited</w:t>
      </w:r>
      <w:r w:rsidR="00A9786F">
        <w:rPr>
          <w:lang w:eastAsia="en-AU"/>
        </w:rPr>
        <w:t>. The total amount</w:t>
      </w:r>
      <w:r w:rsidR="00295F45">
        <w:rPr>
          <w:lang w:eastAsia="en-AU"/>
        </w:rPr>
        <w:t xml:space="preserve"> must be divided among </w:t>
      </w:r>
      <w:r w:rsidR="00B90C5C">
        <w:rPr>
          <w:lang w:eastAsia="en-AU"/>
        </w:rPr>
        <w:t xml:space="preserve">members </w:t>
      </w:r>
      <w:r w:rsidR="00A9786F">
        <w:rPr>
          <w:lang w:eastAsia="en-AU"/>
        </w:rPr>
        <w:t xml:space="preserve">(e.g. individual solar generators) </w:t>
      </w:r>
      <w:r w:rsidR="00B90C5C">
        <w:rPr>
          <w:lang w:eastAsia="en-AU"/>
        </w:rPr>
        <w:t xml:space="preserve">of </w:t>
      </w:r>
      <w:r w:rsidR="00295F45">
        <w:rPr>
          <w:lang w:eastAsia="en-AU"/>
        </w:rPr>
        <w:t>the group</w:t>
      </w:r>
    </w:p>
    <w:p w14:paraId="04365D31" w14:textId="77013DDF" w:rsidR="00957245" w:rsidRDefault="00B90C5C" w:rsidP="008722C4">
      <w:pPr>
        <w:pStyle w:val="Tablenumberlistlevel2"/>
        <w:spacing w:after="120"/>
        <w:rPr>
          <w:lang w:eastAsia="en-AU"/>
        </w:rPr>
      </w:pPr>
      <w:r>
        <w:rPr>
          <w:lang w:eastAsia="en-AU"/>
        </w:rPr>
        <w:t>Dividing t</w:t>
      </w:r>
      <w:r w:rsidR="00295F45">
        <w:rPr>
          <w:lang w:eastAsia="en-AU"/>
        </w:rPr>
        <w:t xml:space="preserve">he ELCC across a group can be </w:t>
      </w:r>
      <w:r w:rsidR="00012DCA">
        <w:rPr>
          <w:lang w:eastAsia="en-AU"/>
        </w:rPr>
        <w:t xml:space="preserve">based on the </w:t>
      </w:r>
      <w:r w:rsidR="00957245">
        <w:rPr>
          <w:lang w:eastAsia="en-AU"/>
        </w:rPr>
        <w:t xml:space="preserve">average output of </w:t>
      </w:r>
      <w:r w:rsidR="00012DCA">
        <w:rPr>
          <w:lang w:eastAsia="en-AU"/>
        </w:rPr>
        <w:t>each</w:t>
      </w:r>
      <w:r w:rsidR="00957245">
        <w:rPr>
          <w:lang w:eastAsia="en-AU"/>
        </w:rPr>
        <w:t xml:space="preserve"> plant </w:t>
      </w:r>
      <w:r w:rsidR="00295F45">
        <w:rPr>
          <w:lang w:eastAsia="en-AU"/>
        </w:rPr>
        <w:t xml:space="preserve">or other </w:t>
      </w:r>
      <w:r w:rsidR="0037322F">
        <w:rPr>
          <w:lang w:eastAsia="en-AU"/>
        </w:rPr>
        <w:t>criteria relating to the size and performance of plant</w:t>
      </w:r>
      <w:r w:rsidR="00957245">
        <w:rPr>
          <w:lang w:eastAsia="en-AU"/>
        </w:rPr>
        <w:t>.</w:t>
      </w:r>
    </w:p>
    <w:p w14:paraId="34A1DEB1" w14:textId="190C0BBC" w:rsidR="00D007E2" w:rsidRDefault="00D007E2" w:rsidP="008722C4">
      <w:pPr>
        <w:pStyle w:val="Tablenumberlistlevel2"/>
        <w:spacing w:after="120"/>
        <w:rPr>
          <w:lang w:eastAsia="en-AU"/>
        </w:rPr>
      </w:pPr>
      <w:r>
        <w:rPr>
          <w:lang w:eastAsia="en-AU"/>
        </w:rPr>
        <w:t>T</w:t>
      </w:r>
      <w:r w:rsidR="0037322F">
        <w:rPr>
          <w:lang w:eastAsia="en-AU"/>
        </w:rPr>
        <w:t xml:space="preserve">he accreditation of individual intermittent plant </w:t>
      </w:r>
      <w:r>
        <w:rPr>
          <w:lang w:eastAsia="en-AU"/>
        </w:rPr>
        <w:t>will</w:t>
      </w:r>
      <w:r w:rsidR="0037322F">
        <w:rPr>
          <w:lang w:eastAsia="en-AU"/>
        </w:rPr>
        <w:t xml:space="preserve"> change </w:t>
      </w:r>
      <w:r>
        <w:rPr>
          <w:lang w:eastAsia="en-AU"/>
        </w:rPr>
        <w:t>if</w:t>
      </w:r>
      <w:r w:rsidR="00B57780">
        <w:rPr>
          <w:lang w:eastAsia="en-AU"/>
        </w:rPr>
        <w:t>:</w:t>
      </w:r>
    </w:p>
    <w:p w14:paraId="40E9077D" w14:textId="3E0B233D" w:rsidR="00D007E2" w:rsidRDefault="0037322F" w:rsidP="008722C4">
      <w:pPr>
        <w:pStyle w:val="Tablenumberlistlevel3"/>
        <w:spacing w:after="120"/>
        <w:rPr>
          <w:lang w:eastAsia="en-AU"/>
        </w:rPr>
      </w:pPr>
      <w:r>
        <w:rPr>
          <w:lang w:eastAsia="en-AU"/>
        </w:rPr>
        <w:t xml:space="preserve">the performance of the plant varies </w:t>
      </w:r>
      <w:r w:rsidR="00D007E2">
        <w:rPr>
          <w:lang w:eastAsia="en-AU"/>
        </w:rPr>
        <w:t>over time</w:t>
      </w:r>
      <w:r w:rsidR="00B57780">
        <w:rPr>
          <w:lang w:eastAsia="en-AU"/>
        </w:rPr>
        <w:t>;</w:t>
      </w:r>
      <w:r w:rsidR="00B90C5C">
        <w:rPr>
          <w:lang w:eastAsia="en-AU"/>
        </w:rPr>
        <w:t xml:space="preserve"> or</w:t>
      </w:r>
    </w:p>
    <w:p w14:paraId="317103DF" w14:textId="0A7C5849" w:rsidR="00B90C5C" w:rsidRDefault="00D007E2" w:rsidP="008722C4">
      <w:pPr>
        <w:pStyle w:val="Tablenumberlistlevel3"/>
        <w:spacing w:after="120"/>
        <w:rPr>
          <w:lang w:eastAsia="en-AU"/>
        </w:rPr>
      </w:pPr>
      <w:proofErr w:type="gramStart"/>
      <w:r>
        <w:rPr>
          <w:lang w:eastAsia="en-AU"/>
        </w:rPr>
        <w:t>external</w:t>
      </w:r>
      <w:proofErr w:type="gramEnd"/>
      <w:r w:rsidR="0037322F">
        <w:rPr>
          <w:lang w:eastAsia="en-AU"/>
        </w:rPr>
        <w:t xml:space="preserve"> factors </w:t>
      </w:r>
      <w:r>
        <w:rPr>
          <w:lang w:eastAsia="en-AU"/>
        </w:rPr>
        <w:t>such as</w:t>
      </w:r>
      <w:r w:rsidR="0037322F">
        <w:rPr>
          <w:lang w:eastAsia="en-AU"/>
        </w:rPr>
        <w:t xml:space="preserve"> a chang</w:t>
      </w:r>
      <w:r w:rsidR="007A00B0">
        <w:rPr>
          <w:lang w:eastAsia="en-AU"/>
        </w:rPr>
        <w:t>e in the</w:t>
      </w:r>
      <w:r w:rsidR="0037322F">
        <w:rPr>
          <w:lang w:eastAsia="en-AU"/>
        </w:rPr>
        <w:t xml:space="preserve"> demand profile </w:t>
      </w:r>
      <w:r w:rsidR="00B77C94">
        <w:rPr>
          <w:lang w:eastAsia="en-AU"/>
        </w:rPr>
        <w:t xml:space="preserve">or a </w:t>
      </w:r>
      <w:r w:rsidR="0037322F">
        <w:rPr>
          <w:lang w:eastAsia="en-AU"/>
        </w:rPr>
        <w:t>constraint</w:t>
      </w:r>
      <w:r>
        <w:rPr>
          <w:lang w:eastAsia="en-AU"/>
        </w:rPr>
        <w:t xml:space="preserve"> affect</w:t>
      </w:r>
      <w:r w:rsidR="000F213B">
        <w:rPr>
          <w:lang w:eastAsia="en-AU"/>
        </w:rPr>
        <w:t>ing</w:t>
      </w:r>
      <w:r>
        <w:rPr>
          <w:lang w:eastAsia="en-AU"/>
        </w:rPr>
        <w:t xml:space="preserve"> the ELCC</w:t>
      </w:r>
      <w:r w:rsidR="00B90C5C">
        <w:rPr>
          <w:lang w:eastAsia="en-AU"/>
        </w:rPr>
        <w:t>.</w:t>
      </w:r>
    </w:p>
    <w:p w14:paraId="6022652B" w14:textId="1AD1528E" w:rsidR="00D007E2" w:rsidRDefault="00E17262" w:rsidP="00BB51D3">
      <w:pPr>
        <w:spacing w:before="200"/>
        <w:rPr>
          <w:lang w:eastAsia="en-AU"/>
        </w:rPr>
      </w:pPr>
      <w:r>
        <w:rPr>
          <w:lang w:eastAsia="en-AU"/>
        </w:rPr>
        <w:t>It is noted that (in respect to step 5</w:t>
      </w:r>
      <w:r w:rsidR="002B0E7F">
        <w:rPr>
          <w:lang w:eastAsia="en-AU"/>
        </w:rPr>
        <w:t>.</w:t>
      </w:r>
      <w:r>
        <w:rPr>
          <w:lang w:eastAsia="en-AU"/>
        </w:rPr>
        <w:t>a</w:t>
      </w:r>
      <w:r w:rsidR="002B0E7F">
        <w:rPr>
          <w:lang w:eastAsia="en-AU"/>
        </w:rPr>
        <w:t>.</w:t>
      </w:r>
      <w:r>
        <w:rPr>
          <w:lang w:eastAsia="en-AU"/>
        </w:rPr>
        <w:t xml:space="preserve"> above) while the contribution of a group of intermittent plant will progressively increase the ELCC for the group, as the group grows in size (e.g. </w:t>
      </w:r>
      <w:r w:rsidR="00CB6BB0">
        <w:rPr>
          <w:lang w:eastAsia="en-AU"/>
        </w:rPr>
        <w:t xml:space="preserve">additional </w:t>
      </w:r>
      <w:r>
        <w:rPr>
          <w:lang w:eastAsia="en-AU"/>
        </w:rPr>
        <w:t xml:space="preserve">participants that are of the </w:t>
      </w:r>
      <w:r w:rsidRPr="00B600F9">
        <w:rPr>
          <w:lang w:eastAsia="en-AU"/>
        </w:rPr>
        <w:t>same technology in the group) there can be diminishing returns for further additions of the same technology. T</w:t>
      </w:r>
      <w:r w:rsidR="005D2297">
        <w:rPr>
          <w:lang w:eastAsia="en-AU"/>
        </w:rPr>
        <w:t xml:space="preserve">his is because </w:t>
      </w:r>
      <w:r w:rsidRPr="00B600F9">
        <w:rPr>
          <w:lang w:eastAsia="en-AU"/>
        </w:rPr>
        <w:t>hours and energy previously at risk will progressively reduce</w:t>
      </w:r>
      <w:r w:rsidRPr="008370B7">
        <w:rPr>
          <w:lang w:eastAsia="en-AU"/>
        </w:rPr>
        <w:t xml:space="preserve"> resulting in a different profile of risk and reducing </w:t>
      </w:r>
      <w:r w:rsidR="00190155">
        <w:rPr>
          <w:lang w:eastAsia="en-AU"/>
        </w:rPr>
        <w:t xml:space="preserve">the </w:t>
      </w:r>
      <w:r w:rsidRPr="00B600F9">
        <w:rPr>
          <w:lang w:eastAsia="en-AU"/>
        </w:rPr>
        <w:t>average benefit. When this occur</w:t>
      </w:r>
      <w:r w:rsidR="002B0E7F">
        <w:rPr>
          <w:lang w:eastAsia="en-AU"/>
        </w:rPr>
        <w:t>s</w:t>
      </w:r>
      <w:r w:rsidRPr="00B600F9">
        <w:rPr>
          <w:lang w:eastAsia="en-AU"/>
        </w:rPr>
        <w:t xml:space="preserve">, the share of the ELCC for each plant </w:t>
      </w:r>
      <w:r w:rsidR="002B0E7F">
        <w:rPr>
          <w:lang w:eastAsia="en-AU"/>
        </w:rPr>
        <w:t xml:space="preserve">in the group </w:t>
      </w:r>
      <w:r w:rsidRPr="00B600F9">
        <w:rPr>
          <w:lang w:eastAsia="en-AU"/>
        </w:rPr>
        <w:t xml:space="preserve">will be less. Or in other words, this may mean that as more plant of the same technology </w:t>
      </w:r>
      <w:r w:rsidR="002B0E7F" w:rsidRPr="008370B7">
        <w:rPr>
          <w:lang w:eastAsia="en-AU"/>
        </w:rPr>
        <w:t>are accredited, the accreditation</w:t>
      </w:r>
      <w:r w:rsidR="002B0E7F">
        <w:rPr>
          <w:lang w:eastAsia="en-AU"/>
        </w:rPr>
        <w:t xml:space="preserve"> of existing (incumbent) plant of the same technology may decrease</w:t>
      </w:r>
      <w:r w:rsidR="005D2297">
        <w:rPr>
          <w:lang w:eastAsia="en-AU"/>
        </w:rPr>
        <w:t>, due to the ELCC being shared by additional plant</w:t>
      </w:r>
      <w:r w:rsidR="002B0E7F">
        <w:rPr>
          <w:lang w:eastAsia="en-AU"/>
        </w:rPr>
        <w:t xml:space="preserve">.  </w:t>
      </w:r>
      <w:r w:rsidR="00B90C5C">
        <w:rPr>
          <w:lang w:eastAsia="en-AU"/>
        </w:rPr>
        <w:t xml:space="preserve">The impact on accreditation of </w:t>
      </w:r>
      <w:r w:rsidR="00D007E2">
        <w:rPr>
          <w:lang w:eastAsia="en-AU"/>
        </w:rPr>
        <w:t xml:space="preserve">new </w:t>
      </w:r>
      <w:r w:rsidR="002B0E7F">
        <w:rPr>
          <w:lang w:eastAsia="en-AU"/>
        </w:rPr>
        <w:t xml:space="preserve">intermittent plant </w:t>
      </w:r>
      <w:r w:rsidR="00D007E2">
        <w:rPr>
          <w:lang w:eastAsia="en-AU"/>
        </w:rPr>
        <w:lastRenderedPageBreak/>
        <w:t>enter</w:t>
      </w:r>
      <w:r w:rsidR="00B90C5C">
        <w:rPr>
          <w:lang w:eastAsia="en-AU"/>
        </w:rPr>
        <w:t>ing</w:t>
      </w:r>
      <w:r w:rsidR="00D007E2">
        <w:rPr>
          <w:lang w:eastAsia="en-AU"/>
        </w:rPr>
        <w:t xml:space="preserve"> the market</w:t>
      </w:r>
      <w:r w:rsidR="00501EFE">
        <w:rPr>
          <w:lang w:eastAsia="en-AU"/>
        </w:rPr>
        <w:t>, and</w:t>
      </w:r>
      <w:r w:rsidR="00B90C5C">
        <w:rPr>
          <w:lang w:eastAsia="en-AU"/>
        </w:rPr>
        <w:t xml:space="preserve"> </w:t>
      </w:r>
      <w:r w:rsidR="00501EFE">
        <w:rPr>
          <w:lang w:eastAsia="en-AU"/>
        </w:rPr>
        <w:t xml:space="preserve">situations </w:t>
      </w:r>
      <w:r w:rsidR="00B90C5C">
        <w:rPr>
          <w:lang w:eastAsia="en-AU"/>
        </w:rPr>
        <w:t xml:space="preserve">where </w:t>
      </w:r>
      <w:r w:rsidR="00406DBC">
        <w:rPr>
          <w:lang w:eastAsia="en-AU"/>
        </w:rPr>
        <w:t xml:space="preserve">power system </w:t>
      </w:r>
      <w:r w:rsidR="00B90C5C">
        <w:rPr>
          <w:lang w:eastAsia="en-AU"/>
        </w:rPr>
        <w:t xml:space="preserve">constraints </w:t>
      </w:r>
      <w:r w:rsidR="00406DBC">
        <w:rPr>
          <w:lang w:eastAsia="en-AU"/>
        </w:rPr>
        <w:t>affect capacity investment</w:t>
      </w:r>
      <w:r w:rsidR="00501EFE">
        <w:rPr>
          <w:lang w:eastAsia="en-AU"/>
        </w:rPr>
        <w:t>,</w:t>
      </w:r>
      <w:r w:rsidR="00406DBC">
        <w:rPr>
          <w:lang w:eastAsia="en-AU"/>
        </w:rPr>
        <w:t xml:space="preserve"> is discussed </w:t>
      </w:r>
      <w:r w:rsidR="006D5BF6">
        <w:rPr>
          <w:lang w:eastAsia="en-AU"/>
        </w:rPr>
        <w:t xml:space="preserve">in </w:t>
      </w:r>
      <w:r w:rsidR="002B5DD5">
        <w:rPr>
          <w:lang w:eastAsia="en-AU"/>
        </w:rPr>
        <w:t>s</w:t>
      </w:r>
      <w:r w:rsidR="006D5BF6">
        <w:rPr>
          <w:lang w:eastAsia="en-AU"/>
        </w:rPr>
        <w:t>ection 5.</w:t>
      </w:r>
      <w:r w:rsidR="006E3074">
        <w:rPr>
          <w:lang w:eastAsia="en-AU"/>
        </w:rPr>
        <w:t>3</w:t>
      </w:r>
    </w:p>
    <w:p w14:paraId="7D41C8A5" w14:textId="6B58DC23" w:rsidR="00957245" w:rsidRPr="009A4556" w:rsidRDefault="00957245" w:rsidP="00957245">
      <w:r>
        <w:rPr>
          <w:lang w:eastAsia="en-AU"/>
        </w:rPr>
        <w:t xml:space="preserve">Storage that is physically or contractually linked with the operation of an intermittent plant should be assessed as a hybrid facility where the availability is representative of the expected </w:t>
      </w:r>
      <w:r w:rsidR="007A00B0">
        <w:rPr>
          <w:lang w:eastAsia="en-AU"/>
        </w:rPr>
        <w:t xml:space="preserve">availability of the </w:t>
      </w:r>
      <w:r>
        <w:rPr>
          <w:lang w:eastAsia="en-AU"/>
        </w:rPr>
        <w:t>combination of technologies including allowance for cloud cover.</w:t>
      </w:r>
      <w:r w:rsidR="001E5398">
        <w:rPr>
          <w:lang w:eastAsia="en-AU"/>
        </w:rPr>
        <w:t xml:space="preserve"> </w:t>
      </w:r>
      <w:proofErr w:type="spellStart"/>
      <w:r>
        <w:rPr>
          <w:lang w:eastAsia="en-AU"/>
        </w:rPr>
        <w:t>Stand alone</w:t>
      </w:r>
      <w:proofErr w:type="spellEnd"/>
      <w:r>
        <w:rPr>
          <w:lang w:eastAsia="en-AU"/>
        </w:rPr>
        <w:t xml:space="preserve"> storage </w:t>
      </w:r>
      <w:r w:rsidR="00516F2C">
        <w:rPr>
          <w:lang w:eastAsia="en-AU"/>
        </w:rPr>
        <w:t>(e.g</w:t>
      </w:r>
      <w:r w:rsidR="00B57780">
        <w:rPr>
          <w:lang w:eastAsia="en-AU"/>
        </w:rPr>
        <w:t>.</w:t>
      </w:r>
      <w:r w:rsidR="00516F2C">
        <w:rPr>
          <w:lang w:eastAsia="en-AU"/>
        </w:rPr>
        <w:t xml:space="preserve"> batteries) </w:t>
      </w:r>
      <w:r>
        <w:rPr>
          <w:lang w:eastAsia="en-AU"/>
        </w:rPr>
        <w:t>operated as</w:t>
      </w:r>
      <w:r w:rsidR="00FA7358">
        <w:rPr>
          <w:lang w:eastAsia="en-AU"/>
        </w:rPr>
        <w:t xml:space="preserve"> an</w:t>
      </w:r>
      <w:r>
        <w:rPr>
          <w:lang w:eastAsia="en-AU"/>
        </w:rPr>
        <w:t xml:space="preserve"> independent market participant will be assessed in a similar way to intermittent plant</w:t>
      </w:r>
      <w:r w:rsidR="00BB51D3">
        <w:rPr>
          <w:lang w:eastAsia="en-AU"/>
        </w:rPr>
        <w:t xml:space="preserve">. The time periods where storage </w:t>
      </w:r>
      <w:r w:rsidR="00BB51D3" w:rsidRPr="00FC3F0E">
        <w:rPr>
          <w:lang w:eastAsia="en-AU"/>
        </w:rPr>
        <w:t xml:space="preserve">will </w:t>
      </w:r>
      <w:r w:rsidR="00BB51D3" w:rsidRPr="008722C4">
        <w:rPr>
          <w:lang w:eastAsia="en-AU"/>
        </w:rPr>
        <w:t>be guaranteed to</w:t>
      </w:r>
      <w:r w:rsidR="00BB51D3" w:rsidRPr="00FC3F0E">
        <w:rPr>
          <w:lang w:eastAsia="en-AU"/>
        </w:rPr>
        <w:t xml:space="preserve"> be a</w:t>
      </w:r>
      <w:r w:rsidR="00FC3F0E" w:rsidRPr="00FC3F0E">
        <w:rPr>
          <w:lang w:eastAsia="en-AU"/>
        </w:rPr>
        <w:t>t</w:t>
      </w:r>
      <w:r w:rsidR="00BB51D3" w:rsidRPr="00FC3F0E">
        <w:rPr>
          <w:lang w:eastAsia="en-AU"/>
        </w:rPr>
        <w:t xml:space="preserve"> full charge</w:t>
      </w:r>
      <w:r w:rsidR="00BB51D3">
        <w:rPr>
          <w:lang w:eastAsia="en-AU"/>
        </w:rPr>
        <w:t xml:space="preserve"> will define the profile of availability </w:t>
      </w:r>
      <w:r w:rsidR="00FC3F0E">
        <w:rPr>
          <w:lang w:eastAsia="en-AU"/>
        </w:rPr>
        <w:t>of storage capacity for the ELCC</w:t>
      </w:r>
      <w:r w:rsidR="00BB51D3">
        <w:rPr>
          <w:lang w:eastAsia="en-AU"/>
        </w:rPr>
        <w:t xml:space="preserve"> calculation. </w:t>
      </w:r>
    </w:p>
    <w:p w14:paraId="5FBB648A" w14:textId="4B0220A7" w:rsidR="006D5BF6" w:rsidRDefault="000B4DAA" w:rsidP="006D5BF6">
      <w:pPr>
        <w:rPr>
          <w:lang w:eastAsia="en-AU"/>
        </w:rPr>
      </w:pPr>
      <w:r>
        <w:rPr>
          <w:lang w:eastAsia="en-AU"/>
        </w:rPr>
        <w:t>T</w:t>
      </w:r>
      <w:r w:rsidR="006D5BF6">
        <w:rPr>
          <w:lang w:eastAsia="en-AU"/>
        </w:rPr>
        <w:t xml:space="preserve">he capacity of the 132kV line between Darwin and Katherine </w:t>
      </w:r>
      <w:r w:rsidR="00A9786F">
        <w:rPr>
          <w:lang w:eastAsia="en-AU"/>
        </w:rPr>
        <w:t xml:space="preserve">may </w:t>
      </w:r>
      <w:r w:rsidR="004816C7">
        <w:rPr>
          <w:lang w:eastAsia="en-AU"/>
        </w:rPr>
        <w:t>at times</w:t>
      </w:r>
      <w:r w:rsidR="006D5BF6">
        <w:rPr>
          <w:lang w:eastAsia="en-AU"/>
        </w:rPr>
        <w:t xml:space="preserve"> be a constraint on the operation of plant south of Channel Island grid</w:t>
      </w:r>
      <w:r>
        <w:rPr>
          <w:lang w:eastAsia="en-AU"/>
        </w:rPr>
        <w:t>. This means</w:t>
      </w:r>
      <w:r w:rsidR="006D5BF6">
        <w:rPr>
          <w:lang w:eastAsia="en-AU"/>
        </w:rPr>
        <w:t xml:space="preserve"> </w:t>
      </w:r>
      <w:r w:rsidR="00501EFE">
        <w:rPr>
          <w:lang w:eastAsia="en-AU"/>
        </w:rPr>
        <w:t xml:space="preserve">intermittent plant </w:t>
      </w:r>
      <w:r w:rsidR="006D5BF6">
        <w:rPr>
          <w:lang w:eastAsia="en-AU"/>
        </w:rPr>
        <w:t xml:space="preserve">to the north and south of Channel Island may need to be assessed separately. These </w:t>
      </w:r>
      <w:r>
        <w:rPr>
          <w:lang w:eastAsia="en-AU"/>
        </w:rPr>
        <w:t xml:space="preserve">two </w:t>
      </w:r>
      <w:r w:rsidR="006D5BF6">
        <w:rPr>
          <w:lang w:eastAsia="en-AU"/>
        </w:rPr>
        <w:t>groups are also likely to show different degrees of reduced output due to cloud with plant further south less likely to be impacted. Whether separate assessment of the northern and southern regions is needed will only be determined from practical experience (evaluated by the Reliability Manager) and may evolve in conjunction with the growth in solar.</w:t>
      </w:r>
      <w:r w:rsidR="00406DBC">
        <w:rPr>
          <w:lang w:eastAsia="en-AU"/>
        </w:rPr>
        <w:t xml:space="preserve"> </w:t>
      </w:r>
    </w:p>
    <w:p w14:paraId="330CF30D" w14:textId="77777777" w:rsidR="00C10DDE" w:rsidRDefault="006D5BF6" w:rsidP="006E3074">
      <w:pPr>
        <w:pStyle w:val="Heading2"/>
        <w:rPr>
          <w:lang w:eastAsia="en-AU"/>
        </w:rPr>
      </w:pPr>
      <w:bookmarkStart w:id="17" w:name="_Toc59188472"/>
      <w:r>
        <w:rPr>
          <w:lang w:eastAsia="en-AU"/>
        </w:rPr>
        <w:t>New entrant impact on</w:t>
      </w:r>
      <w:r w:rsidR="00C10DDE">
        <w:rPr>
          <w:lang w:eastAsia="en-AU"/>
        </w:rPr>
        <w:t xml:space="preserve"> accreditation</w:t>
      </w:r>
      <w:bookmarkEnd w:id="17"/>
    </w:p>
    <w:p w14:paraId="3C79105B" w14:textId="0B270511" w:rsidR="00150F21" w:rsidRPr="00D95FBC" w:rsidRDefault="00F02741" w:rsidP="00150F21">
      <w:pPr>
        <w:rPr>
          <w:lang w:eastAsia="en-AU"/>
        </w:rPr>
      </w:pPr>
      <w:r>
        <w:rPr>
          <w:lang w:eastAsia="en-AU"/>
        </w:rPr>
        <w:t>Directly or indirectly through contracts t</w:t>
      </w:r>
      <w:r w:rsidR="0063127A">
        <w:rPr>
          <w:lang w:eastAsia="en-AU"/>
        </w:rPr>
        <w:t>he capacity mechanism provide</w:t>
      </w:r>
      <w:r w:rsidR="00C93277">
        <w:rPr>
          <w:lang w:eastAsia="en-AU"/>
        </w:rPr>
        <w:t>s</w:t>
      </w:r>
      <w:r w:rsidR="0063127A">
        <w:rPr>
          <w:lang w:eastAsia="en-AU"/>
        </w:rPr>
        <w:t xml:space="preserve"> </w:t>
      </w:r>
      <w:r w:rsidR="00C93277">
        <w:rPr>
          <w:lang w:eastAsia="en-AU"/>
        </w:rPr>
        <w:t>a steady revenue stream</w:t>
      </w:r>
      <w:r w:rsidR="0063127A">
        <w:rPr>
          <w:lang w:eastAsia="en-AU"/>
        </w:rPr>
        <w:t xml:space="preserve"> </w:t>
      </w:r>
      <w:r w:rsidR="00C93277">
        <w:rPr>
          <w:lang w:eastAsia="en-AU"/>
        </w:rPr>
        <w:t xml:space="preserve">for </w:t>
      </w:r>
      <w:r>
        <w:rPr>
          <w:lang w:eastAsia="en-AU"/>
        </w:rPr>
        <w:t>providers of</w:t>
      </w:r>
      <w:r w:rsidR="00C93277">
        <w:rPr>
          <w:lang w:eastAsia="en-AU"/>
        </w:rPr>
        <w:t xml:space="preserve"> accredited </w:t>
      </w:r>
      <w:r w:rsidR="008F29F6">
        <w:rPr>
          <w:lang w:eastAsia="en-AU"/>
        </w:rPr>
        <w:t xml:space="preserve">(and contracted) </w:t>
      </w:r>
      <w:r w:rsidR="00C93277">
        <w:rPr>
          <w:lang w:eastAsia="en-AU"/>
        </w:rPr>
        <w:t xml:space="preserve">capacity to support achievement of the reliability standard. Although the characteristics exhibited by </w:t>
      </w:r>
      <w:r w:rsidR="002B0E7F">
        <w:rPr>
          <w:lang w:eastAsia="en-AU"/>
        </w:rPr>
        <w:t xml:space="preserve">controllable </w:t>
      </w:r>
      <w:r w:rsidR="00C93277">
        <w:rPr>
          <w:lang w:eastAsia="en-AU"/>
        </w:rPr>
        <w:t xml:space="preserve">generation (discussed in </w:t>
      </w:r>
      <w:r w:rsidR="00CC512A">
        <w:rPr>
          <w:lang w:eastAsia="en-AU"/>
        </w:rPr>
        <w:t>s</w:t>
      </w:r>
      <w:r w:rsidR="00C93277">
        <w:rPr>
          <w:lang w:eastAsia="en-AU"/>
        </w:rPr>
        <w:t xml:space="preserve">ection 5.1) mean this type of generation </w:t>
      </w:r>
      <w:r w:rsidR="0040461C">
        <w:rPr>
          <w:lang w:eastAsia="en-AU"/>
        </w:rPr>
        <w:t xml:space="preserve">is suited to contributing to the capacity needs of a power system, intermittent generation and storage are also expected to </w:t>
      </w:r>
      <w:r w:rsidR="003353EC">
        <w:rPr>
          <w:lang w:eastAsia="en-AU"/>
        </w:rPr>
        <w:t>contribute to</w:t>
      </w:r>
      <w:r w:rsidR="0040461C">
        <w:rPr>
          <w:lang w:eastAsia="en-AU"/>
        </w:rPr>
        <w:t xml:space="preserve"> capacity</w:t>
      </w:r>
      <w:r w:rsidR="00B92960">
        <w:rPr>
          <w:lang w:eastAsia="en-AU"/>
        </w:rPr>
        <w:t xml:space="preserve"> and </w:t>
      </w:r>
      <w:r>
        <w:rPr>
          <w:lang w:eastAsia="en-AU"/>
        </w:rPr>
        <w:t xml:space="preserve">also </w:t>
      </w:r>
      <w:r w:rsidR="00B92960">
        <w:rPr>
          <w:lang w:eastAsia="en-AU"/>
        </w:rPr>
        <w:t>earn capacity revenue</w:t>
      </w:r>
      <w:r w:rsidR="0040461C">
        <w:rPr>
          <w:lang w:eastAsia="en-AU"/>
        </w:rPr>
        <w:t xml:space="preserve">. </w:t>
      </w:r>
      <w:r w:rsidR="003353EC">
        <w:rPr>
          <w:lang w:eastAsia="en-AU"/>
        </w:rPr>
        <w:t>However, p</w:t>
      </w:r>
      <w:r w:rsidR="002B0E7F">
        <w:rPr>
          <w:lang w:eastAsia="en-AU"/>
        </w:rPr>
        <w:t xml:space="preserve">roduction of </w:t>
      </w:r>
      <w:r w:rsidR="00EA0A1B">
        <w:rPr>
          <w:lang w:eastAsia="en-AU"/>
        </w:rPr>
        <w:t xml:space="preserve">energy is </w:t>
      </w:r>
      <w:r w:rsidR="0040461C">
        <w:rPr>
          <w:lang w:eastAsia="en-AU"/>
        </w:rPr>
        <w:t>expected to be the primary source of income for intermittent generators</w:t>
      </w:r>
      <w:r w:rsidR="00AC6138">
        <w:rPr>
          <w:lang w:eastAsia="en-AU"/>
        </w:rPr>
        <w:t xml:space="preserve">. </w:t>
      </w:r>
      <w:r w:rsidR="00150F21">
        <w:rPr>
          <w:lang w:eastAsia="en-AU"/>
        </w:rPr>
        <w:t>It should also be noted that a</w:t>
      </w:r>
      <w:r w:rsidR="00150F21">
        <w:rPr>
          <w:rFonts w:eastAsiaTheme="minorEastAsia"/>
          <w:lang w:eastAsia="en-AU"/>
        </w:rPr>
        <w:t>ccreditation</w:t>
      </w:r>
      <w:r w:rsidR="006F19DD">
        <w:rPr>
          <w:rFonts w:eastAsiaTheme="minorEastAsia"/>
          <w:lang w:eastAsia="en-AU"/>
        </w:rPr>
        <w:t xml:space="preserve"> (for any </w:t>
      </w:r>
      <w:r w:rsidR="00CC512A">
        <w:rPr>
          <w:rFonts w:eastAsiaTheme="minorEastAsia"/>
          <w:lang w:eastAsia="en-AU"/>
        </w:rPr>
        <w:t>capacity provider</w:t>
      </w:r>
      <w:r w:rsidR="006F19DD">
        <w:rPr>
          <w:rFonts w:eastAsiaTheme="minorEastAsia"/>
          <w:lang w:eastAsia="en-AU"/>
        </w:rPr>
        <w:t>)</w:t>
      </w:r>
      <w:r w:rsidR="00150F21">
        <w:rPr>
          <w:rFonts w:eastAsiaTheme="minorEastAsia"/>
          <w:lang w:eastAsia="en-AU"/>
        </w:rPr>
        <w:t xml:space="preserve"> does not</w:t>
      </w:r>
      <w:r w:rsidR="00150F21" w:rsidRPr="00D95FBC">
        <w:rPr>
          <w:rFonts w:eastAsiaTheme="minorEastAsia"/>
          <w:lang w:eastAsia="en-AU"/>
        </w:rPr>
        <w:t xml:space="preserve"> afford </w:t>
      </w:r>
      <w:r w:rsidR="00150F21">
        <w:rPr>
          <w:rFonts w:eastAsiaTheme="minorEastAsia"/>
          <w:lang w:eastAsia="en-AU"/>
        </w:rPr>
        <w:t xml:space="preserve">any </w:t>
      </w:r>
      <w:r w:rsidR="00150F21" w:rsidRPr="00D95FBC">
        <w:rPr>
          <w:rFonts w:eastAsiaTheme="minorEastAsia"/>
          <w:lang w:eastAsia="en-AU"/>
        </w:rPr>
        <w:t>priority for dispatch</w:t>
      </w:r>
      <w:r w:rsidR="00150F21">
        <w:rPr>
          <w:rFonts w:eastAsiaTheme="minorEastAsia"/>
          <w:lang w:eastAsia="en-AU"/>
        </w:rPr>
        <w:t>. D</w:t>
      </w:r>
      <w:r w:rsidR="00150F21" w:rsidRPr="00D95FBC">
        <w:rPr>
          <w:rFonts w:eastAsiaTheme="minorEastAsia"/>
          <w:lang w:eastAsia="en-AU"/>
        </w:rPr>
        <w:t>ispatch</w:t>
      </w:r>
      <w:r w:rsidR="00175AA0">
        <w:rPr>
          <w:rFonts w:eastAsiaTheme="minorEastAsia"/>
          <w:lang w:eastAsia="en-AU"/>
        </w:rPr>
        <w:t xml:space="preserve"> </w:t>
      </w:r>
      <w:r w:rsidR="00A46455">
        <w:rPr>
          <w:rFonts w:eastAsiaTheme="minorEastAsia"/>
          <w:lang w:eastAsia="en-AU"/>
        </w:rPr>
        <w:t>order</w:t>
      </w:r>
      <w:r w:rsidR="00150F21" w:rsidRPr="00D95FBC">
        <w:rPr>
          <w:rFonts w:eastAsiaTheme="minorEastAsia"/>
          <w:lang w:eastAsia="en-AU"/>
        </w:rPr>
        <w:t xml:space="preserve"> will be</w:t>
      </w:r>
      <w:r w:rsidR="00175AA0">
        <w:rPr>
          <w:rFonts w:eastAsiaTheme="minorEastAsia"/>
          <w:lang w:eastAsia="en-AU"/>
        </w:rPr>
        <w:t xml:space="preserve"> determined</w:t>
      </w:r>
      <w:r w:rsidR="00150F21" w:rsidRPr="00D95FBC">
        <w:rPr>
          <w:rFonts w:eastAsiaTheme="minorEastAsia"/>
          <w:lang w:eastAsia="en-AU"/>
        </w:rPr>
        <w:t xml:space="preserve"> on the basis of least cost economic principles </w:t>
      </w:r>
      <w:r w:rsidR="002B0E7F">
        <w:rPr>
          <w:rFonts w:eastAsiaTheme="minorEastAsia"/>
          <w:lang w:eastAsia="en-AU"/>
        </w:rPr>
        <w:t>(</w:t>
      </w:r>
      <w:r w:rsidR="00150F21" w:rsidRPr="00D95FBC">
        <w:rPr>
          <w:rFonts w:eastAsiaTheme="minorEastAsia"/>
          <w:lang w:eastAsia="en-AU"/>
        </w:rPr>
        <w:t>with tie breaking for equal priced energy</w:t>
      </w:r>
      <w:r w:rsidR="00175AA0">
        <w:rPr>
          <w:rFonts w:eastAsiaTheme="minorEastAsia"/>
          <w:lang w:eastAsia="en-AU"/>
        </w:rPr>
        <w:t xml:space="preserve"> as well as meeting other security and network constraints</w:t>
      </w:r>
      <w:r w:rsidR="002B0E7F">
        <w:rPr>
          <w:rFonts w:eastAsiaTheme="minorEastAsia"/>
          <w:lang w:eastAsia="en-AU"/>
        </w:rPr>
        <w:t>)</w:t>
      </w:r>
      <w:r w:rsidR="00150F21" w:rsidRPr="00D95FBC">
        <w:rPr>
          <w:rFonts w:eastAsiaTheme="minorEastAsia"/>
          <w:lang w:eastAsia="en-AU"/>
        </w:rPr>
        <w:t>.</w:t>
      </w:r>
    </w:p>
    <w:p w14:paraId="0E847DCD" w14:textId="3DB7B5DC" w:rsidR="006E3074" w:rsidRDefault="00C10DDE" w:rsidP="00957245">
      <w:pPr>
        <w:rPr>
          <w:lang w:eastAsia="en-AU"/>
        </w:rPr>
      </w:pPr>
      <w:r>
        <w:rPr>
          <w:lang w:eastAsia="en-AU"/>
        </w:rPr>
        <w:t>Given the Territory Government’s renewable energy target, it is anticipated that</w:t>
      </w:r>
      <w:r w:rsidR="00A9786F">
        <w:rPr>
          <w:lang w:eastAsia="en-AU"/>
        </w:rPr>
        <w:t xml:space="preserve"> many</w:t>
      </w:r>
      <w:r>
        <w:rPr>
          <w:lang w:eastAsia="en-AU"/>
        </w:rPr>
        <w:t xml:space="preserve"> new entrants will be intermittent generators and storage. </w:t>
      </w:r>
      <w:r w:rsidR="00406DBC">
        <w:rPr>
          <w:lang w:eastAsia="en-AU"/>
        </w:rPr>
        <w:t xml:space="preserve">Without a decision to the contrary, the </w:t>
      </w:r>
      <w:r>
        <w:rPr>
          <w:lang w:eastAsia="en-AU"/>
        </w:rPr>
        <w:t xml:space="preserve">accreditation process </w:t>
      </w:r>
      <w:r w:rsidR="00406DBC">
        <w:rPr>
          <w:lang w:eastAsia="en-AU"/>
        </w:rPr>
        <w:t xml:space="preserve">in </w:t>
      </w:r>
      <w:r w:rsidR="00AA384F">
        <w:rPr>
          <w:lang w:eastAsia="en-AU"/>
        </w:rPr>
        <w:t>s</w:t>
      </w:r>
      <w:r w:rsidR="00406DBC">
        <w:rPr>
          <w:lang w:eastAsia="en-AU"/>
        </w:rPr>
        <w:t xml:space="preserve">ection 5.2 </w:t>
      </w:r>
      <w:r>
        <w:rPr>
          <w:lang w:eastAsia="en-AU"/>
        </w:rPr>
        <w:t>for these technologies means that as the number of market participants increases, the ELCC would be divided over an increasing number of generation unit</w:t>
      </w:r>
      <w:r w:rsidR="00D007E2">
        <w:rPr>
          <w:lang w:eastAsia="en-AU"/>
        </w:rPr>
        <w:t>s</w:t>
      </w:r>
      <w:r w:rsidR="00FC3F0E">
        <w:rPr>
          <w:lang w:eastAsia="en-AU"/>
        </w:rPr>
        <w:t>, as explained above</w:t>
      </w:r>
      <w:r w:rsidR="00D007E2">
        <w:rPr>
          <w:lang w:eastAsia="en-AU"/>
        </w:rPr>
        <w:t xml:space="preserve">. Accordingly, the initial accreditation value assigned to an intermittent plant </w:t>
      </w:r>
      <w:r w:rsidR="006E3074">
        <w:rPr>
          <w:lang w:eastAsia="en-AU"/>
        </w:rPr>
        <w:t xml:space="preserve">(and therefore the capacity revenue it </w:t>
      </w:r>
      <w:r w:rsidR="00A46455">
        <w:rPr>
          <w:lang w:eastAsia="en-AU"/>
        </w:rPr>
        <w:t>could potentially</w:t>
      </w:r>
      <w:r w:rsidR="006E3074">
        <w:rPr>
          <w:lang w:eastAsia="en-AU"/>
        </w:rPr>
        <w:t xml:space="preserve"> earn) </w:t>
      </w:r>
      <w:r w:rsidR="00D007E2">
        <w:rPr>
          <w:lang w:eastAsia="en-AU"/>
        </w:rPr>
        <w:t xml:space="preserve">will </w:t>
      </w:r>
      <w:r w:rsidR="0011688A">
        <w:rPr>
          <w:lang w:eastAsia="en-AU"/>
        </w:rPr>
        <w:t xml:space="preserve">generally </w:t>
      </w:r>
      <w:r w:rsidR="00D007E2">
        <w:rPr>
          <w:lang w:eastAsia="en-AU"/>
        </w:rPr>
        <w:t xml:space="preserve">be highest at commissioning then decline over time </w:t>
      </w:r>
      <w:r w:rsidR="002F2486">
        <w:rPr>
          <w:lang w:eastAsia="en-AU"/>
        </w:rPr>
        <w:t>as</w:t>
      </w:r>
      <w:r w:rsidR="00D007E2">
        <w:rPr>
          <w:lang w:eastAsia="en-AU"/>
        </w:rPr>
        <w:t xml:space="preserve"> other plant</w:t>
      </w:r>
      <w:r w:rsidR="002F2486">
        <w:rPr>
          <w:lang w:eastAsia="en-AU"/>
        </w:rPr>
        <w:t xml:space="preserve"> enters the market</w:t>
      </w:r>
      <w:r w:rsidR="00D007E2">
        <w:rPr>
          <w:lang w:eastAsia="en-AU"/>
        </w:rPr>
        <w:t>.</w:t>
      </w:r>
      <w:r w:rsidR="006E3074">
        <w:rPr>
          <w:lang w:eastAsia="en-AU"/>
        </w:rPr>
        <w:t xml:space="preserve"> </w:t>
      </w:r>
      <w:r w:rsidR="008253EB">
        <w:rPr>
          <w:lang w:eastAsia="en-AU"/>
        </w:rPr>
        <w:t xml:space="preserve">This has a number of advantages and disadvantages detailed </w:t>
      </w:r>
      <w:r w:rsidR="00956C3A">
        <w:rPr>
          <w:lang w:eastAsia="en-AU"/>
        </w:rPr>
        <w:t>in Table 1.</w:t>
      </w:r>
    </w:p>
    <w:p w14:paraId="53B99654" w14:textId="27792DBB" w:rsidR="008253EB" w:rsidRDefault="008253EB" w:rsidP="0040461C">
      <w:pPr>
        <w:pStyle w:val="Caption"/>
        <w:keepNext/>
        <w:rPr>
          <w:b/>
        </w:rPr>
      </w:pPr>
      <w:bookmarkStart w:id="18" w:name="_Ref48314200"/>
      <w:r w:rsidRPr="008253EB">
        <w:rPr>
          <w:b/>
        </w:rPr>
        <w:lastRenderedPageBreak/>
        <w:t xml:space="preserve">Table </w:t>
      </w:r>
      <w:bookmarkEnd w:id="18"/>
      <w:r w:rsidR="00956C3A">
        <w:rPr>
          <w:b/>
        </w:rPr>
        <w:t>1</w:t>
      </w:r>
      <w:r w:rsidRPr="008253EB">
        <w:rPr>
          <w:b/>
        </w:rPr>
        <w:t xml:space="preserve"> Advantages and disadvantages of variable accreditation</w:t>
      </w:r>
    </w:p>
    <w:tbl>
      <w:tblPr>
        <w:tblStyle w:val="NTGtable1"/>
        <w:tblW w:w="0" w:type="auto"/>
        <w:tblLook w:val="04A0" w:firstRow="1" w:lastRow="0" w:firstColumn="1" w:lastColumn="0" w:noHBand="0" w:noVBand="1"/>
      </w:tblPr>
      <w:tblGrid>
        <w:gridCol w:w="1838"/>
        <w:gridCol w:w="8470"/>
      </w:tblGrid>
      <w:tr w:rsidR="00956C3A" w14:paraId="41BD94E5" w14:textId="77777777" w:rsidTr="002C0B0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38" w:type="dxa"/>
          </w:tcPr>
          <w:p w14:paraId="73A799FE" w14:textId="1E84027E" w:rsidR="00956C3A" w:rsidRPr="00F73889" w:rsidRDefault="00956C3A" w:rsidP="00F25324">
            <w:pPr>
              <w:rPr>
                <w:rFonts w:cs="Arial"/>
              </w:rPr>
            </w:pPr>
          </w:p>
        </w:tc>
        <w:tc>
          <w:tcPr>
            <w:tcW w:w="8470" w:type="dxa"/>
          </w:tcPr>
          <w:p w14:paraId="7FCB9FC7" w14:textId="3D8BEFB5" w:rsidR="00956C3A" w:rsidRPr="00F73889" w:rsidRDefault="00956C3A" w:rsidP="00F25324">
            <w:pPr>
              <w:cnfStyle w:val="100000000000" w:firstRow="1" w:lastRow="0" w:firstColumn="0" w:lastColumn="0" w:oddVBand="0" w:evenVBand="0" w:oddHBand="0" w:evenHBand="0" w:firstRowFirstColumn="0" w:firstRowLastColumn="0" w:lastRowFirstColumn="0" w:lastRowLastColumn="0"/>
              <w:rPr>
                <w:rFonts w:cs="Arial"/>
              </w:rPr>
            </w:pPr>
            <w:r>
              <w:rPr>
                <w:rFonts w:cs="Arial"/>
              </w:rPr>
              <w:t>Analysis</w:t>
            </w:r>
          </w:p>
        </w:tc>
      </w:tr>
      <w:tr w:rsidR="00956C3A" w14:paraId="3B3D475A" w14:textId="77777777" w:rsidTr="002C0B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38" w:type="dxa"/>
            <w:vAlign w:val="top"/>
          </w:tcPr>
          <w:p w14:paraId="2105FBEC" w14:textId="459F7FDB" w:rsidR="00956C3A" w:rsidRPr="00D54F69" w:rsidRDefault="00956C3A" w:rsidP="00956C3A">
            <w:pPr>
              <w:spacing w:before="60" w:after="60"/>
              <w:rPr>
                <w:rFonts w:cs="Arial"/>
              </w:rPr>
            </w:pPr>
            <w:r>
              <w:rPr>
                <w:rFonts w:cs="Arial"/>
              </w:rPr>
              <w:t xml:space="preserve">Advantages </w:t>
            </w:r>
          </w:p>
        </w:tc>
        <w:tc>
          <w:tcPr>
            <w:tcW w:w="8470" w:type="dxa"/>
            <w:vAlign w:val="top"/>
          </w:tcPr>
          <w:p w14:paraId="54CE1CC5" w14:textId="77777777" w:rsidR="00956C3A" w:rsidRDefault="00956C3A" w:rsidP="00956C3A">
            <w:pPr>
              <w:spacing w:after="200"/>
              <w:cnfStyle w:val="000000100000" w:firstRow="0" w:lastRow="0" w:firstColumn="0" w:lastColumn="0" w:oddVBand="0" w:evenVBand="0" w:oddHBand="1" w:evenHBand="0" w:firstRowFirstColumn="0" w:firstRowLastColumn="0" w:lastRowFirstColumn="0" w:lastRowLastColumn="0"/>
              <w:rPr>
                <w:lang w:eastAsia="en-AU"/>
              </w:rPr>
            </w:pPr>
            <w:r>
              <w:rPr>
                <w:lang w:eastAsia="en-AU"/>
              </w:rPr>
              <w:t>Reduces barriers to future competition (and more efficient technology) by facilitating equal access to capacity revenue stream.</w:t>
            </w:r>
          </w:p>
          <w:p w14:paraId="0232A5DC" w14:textId="4BC88486" w:rsidR="00956C3A" w:rsidRDefault="00956C3A" w:rsidP="00956C3A">
            <w:pPr>
              <w:spacing w:after="200"/>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Avoids possible distortions where two (or more) generators may have significantly different accreditation (and thus levels of capacity revenue) simply due </w:t>
            </w:r>
            <w:r w:rsidR="00C2168E">
              <w:rPr>
                <w:lang w:eastAsia="en-AU"/>
              </w:rPr>
              <w:t xml:space="preserve">to </w:t>
            </w:r>
            <w:r>
              <w:rPr>
                <w:lang w:eastAsia="en-AU"/>
              </w:rPr>
              <w:t xml:space="preserve">the order in which they connect to the network. </w:t>
            </w:r>
          </w:p>
          <w:p w14:paraId="6C1198CC" w14:textId="77777777" w:rsidR="00956C3A" w:rsidRDefault="00956C3A" w:rsidP="00956C3A">
            <w:pPr>
              <w:spacing w:after="200"/>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Preserves the relationship between accreditation and the capability or characteristics of the generation plant (as accreditation is regularly reviewed). </w:t>
            </w:r>
          </w:p>
          <w:p w14:paraId="7A1FCCEF" w14:textId="77777777" w:rsidR="00956C3A" w:rsidRDefault="00956C3A" w:rsidP="00956C3A">
            <w:pPr>
              <w:spacing w:after="200"/>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The impact on ELCC from changes in customer demand (positive or negative) are equally shared across generators. </w:t>
            </w:r>
          </w:p>
          <w:p w14:paraId="7D9E4155" w14:textId="72FA239B" w:rsidR="00956C3A" w:rsidRPr="00D54F69" w:rsidRDefault="005D2297" w:rsidP="005D2297">
            <w:pPr>
              <w:spacing w:before="60" w:after="200"/>
              <w:cnfStyle w:val="000000100000" w:firstRow="0" w:lastRow="0" w:firstColumn="0" w:lastColumn="0" w:oddVBand="0" w:evenVBand="0" w:oddHBand="1" w:evenHBand="0" w:firstRowFirstColumn="0" w:firstRowLastColumn="0" w:lastRowFirstColumn="0" w:lastRowLastColumn="0"/>
              <w:rPr>
                <w:rFonts w:cs="Arial"/>
              </w:rPr>
            </w:pPr>
            <w:r>
              <w:rPr>
                <w:lang w:eastAsia="en-AU"/>
              </w:rPr>
              <w:t>This analysis a</w:t>
            </w:r>
            <w:r w:rsidR="00C2168E">
              <w:rPr>
                <w:lang w:eastAsia="en-AU"/>
              </w:rPr>
              <w:t>ssum</w:t>
            </w:r>
            <w:r>
              <w:rPr>
                <w:lang w:eastAsia="en-AU"/>
              </w:rPr>
              <w:t xml:space="preserve">es </w:t>
            </w:r>
            <w:r w:rsidR="00C2168E">
              <w:rPr>
                <w:lang w:eastAsia="en-AU"/>
              </w:rPr>
              <w:t>e</w:t>
            </w:r>
            <w:r w:rsidR="00956C3A">
              <w:rPr>
                <w:lang w:eastAsia="en-AU"/>
              </w:rPr>
              <w:t>nergy is the primary source of revenue. (I</w:t>
            </w:r>
            <w:r w:rsidR="00956C3A" w:rsidRPr="00D95FBC">
              <w:rPr>
                <w:lang w:eastAsia="en-AU"/>
              </w:rPr>
              <w:t xml:space="preserve">ntermittent solar plant are likely to be </w:t>
            </w:r>
            <w:r w:rsidR="00956C3A">
              <w:rPr>
                <w:lang w:eastAsia="en-AU"/>
              </w:rPr>
              <w:t>only accredited</w:t>
            </w:r>
            <w:r w:rsidR="00956C3A" w:rsidRPr="00D95FBC">
              <w:rPr>
                <w:lang w:eastAsia="en-AU"/>
              </w:rPr>
              <w:t xml:space="preserve"> a small proportion of their installed capacity</w:t>
            </w:r>
            <w:r w:rsidR="00956C3A">
              <w:rPr>
                <w:lang w:eastAsia="en-AU"/>
              </w:rPr>
              <w:t xml:space="preserve"> and thus, capacity related payments will be a minor part of their revenue.)</w:t>
            </w:r>
            <w:r w:rsidR="00C2168E">
              <w:rPr>
                <w:lang w:eastAsia="en-AU"/>
              </w:rPr>
              <w:t xml:space="preserve"> The addition of storage coupled with an intermittent technology (such as solar PV) </w:t>
            </w:r>
            <w:r>
              <w:rPr>
                <w:lang w:eastAsia="en-AU"/>
              </w:rPr>
              <w:t xml:space="preserve">would </w:t>
            </w:r>
            <w:r w:rsidR="00C2168E">
              <w:rPr>
                <w:lang w:eastAsia="en-AU"/>
              </w:rPr>
              <w:t xml:space="preserve">change this </w:t>
            </w:r>
            <w:r>
              <w:rPr>
                <w:lang w:eastAsia="en-AU"/>
              </w:rPr>
              <w:t xml:space="preserve">analysis </w:t>
            </w:r>
            <w:r w:rsidR="00C2168E">
              <w:rPr>
                <w:lang w:eastAsia="en-AU"/>
              </w:rPr>
              <w:t>unless the storage and solar a</w:t>
            </w:r>
            <w:r w:rsidR="00AB3941">
              <w:rPr>
                <w:lang w:eastAsia="en-AU"/>
              </w:rPr>
              <w:t>re</w:t>
            </w:r>
            <w:r w:rsidR="00C2168E">
              <w:rPr>
                <w:lang w:eastAsia="en-AU"/>
              </w:rPr>
              <w:t xml:space="preserve"> assessed separately. </w:t>
            </w:r>
          </w:p>
        </w:tc>
      </w:tr>
      <w:tr w:rsidR="00956C3A" w14:paraId="5DCF7D35" w14:textId="77777777" w:rsidTr="002C0B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38" w:type="dxa"/>
            <w:vAlign w:val="top"/>
          </w:tcPr>
          <w:p w14:paraId="38E709B5" w14:textId="297462B9" w:rsidR="00956C3A" w:rsidRPr="00D54F69" w:rsidRDefault="00956C3A" w:rsidP="00956C3A">
            <w:pPr>
              <w:spacing w:before="60" w:after="60"/>
              <w:rPr>
                <w:rFonts w:cs="Arial"/>
              </w:rPr>
            </w:pPr>
            <w:r>
              <w:rPr>
                <w:rFonts w:cs="Arial"/>
              </w:rPr>
              <w:t>Disadvantages</w:t>
            </w:r>
          </w:p>
        </w:tc>
        <w:tc>
          <w:tcPr>
            <w:tcW w:w="8470" w:type="dxa"/>
            <w:vAlign w:val="top"/>
          </w:tcPr>
          <w:p w14:paraId="47E14AE6" w14:textId="77777777" w:rsidR="00956C3A" w:rsidRDefault="00956C3A" w:rsidP="00956C3A">
            <w:pPr>
              <w:spacing w:after="200"/>
              <w:cnfStyle w:val="000000010000" w:firstRow="0" w:lastRow="0" w:firstColumn="0" w:lastColumn="0" w:oddVBand="0" w:evenVBand="0" w:oddHBand="0" w:evenHBand="1" w:firstRowFirstColumn="0" w:firstRowLastColumn="0" w:lastRowFirstColumn="0" w:lastRowLastColumn="0"/>
              <w:rPr>
                <w:lang w:eastAsia="en-AU"/>
              </w:rPr>
            </w:pPr>
            <w:r>
              <w:rPr>
                <w:lang w:eastAsia="en-AU"/>
              </w:rPr>
              <w:t>Creates uncertainty about the level of capacity revenue, which may result in investors requiring a price premium to accommodate revenue risk.</w:t>
            </w:r>
          </w:p>
          <w:p w14:paraId="290330FF" w14:textId="77777777" w:rsidR="00956C3A" w:rsidRDefault="00956C3A" w:rsidP="00956C3A">
            <w:pPr>
              <w:spacing w:after="200"/>
              <w:cnfStyle w:val="000000010000" w:firstRow="0" w:lastRow="0" w:firstColumn="0" w:lastColumn="0" w:oddVBand="0" w:evenVBand="0" w:oddHBand="0" w:evenHBand="1" w:firstRowFirstColumn="0" w:firstRowLastColumn="0" w:lastRowFirstColumn="0" w:lastRowLastColumn="0"/>
              <w:rPr>
                <w:lang w:eastAsia="en-AU"/>
              </w:rPr>
            </w:pPr>
            <w:r>
              <w:rPr>
                <w:lang w:eastAsia="en-AU"/>
              </w:rPr>
              <w:t>Weakens capacity investment signals when there are network or other constraints at particular locations within the network. Preserving the accreditation of incumbents (or early movers) in those areas would send a stronger signal (as new entrants only receive any residual associated with an increase in the ELCC) that further supply would not be beneficial and investors should consider other locations within the power system.</w:t>
            </w:r>
          </w:p>
          <w:p w14:paraId="126C3F92" w14:textId="7A7B7F80" w:rsidR="00956C3A" w:rsidRPr="00D54F69" w:rsidRDefault="00956C3A" w:rsidP="00956C3A">
            <w:pPr>
              <w:spacing w:before="60" w:after="200"/>
              <w:cnfStyle w:val="000000010000" w:firstRow="0" w:lastRow="0" w:firstColumn="0" w:lastColumn="0" w:oddVBand="0" w:evenVBand="0" w:oddHBand="0" w:evenHBand="1" w:firstRowFirstColumn="0" w:firstRowLastColumn="0" w:lastRowFirstColumn="0" w:lastRowLastColumn="0"/>
              <w:rPr>
                <w:rFonts w:cs="Arial"/>
              </w:rPr>
            </w:pPr>
            <w:r>
              <w:rPr>
                <w:lang w:eastAsia="en-AU"/>
              </w:rPr>
              <w:t>There is less incentive for early movers (relative to a regime where the accreditation and the associated stream of capacity revenue of incumbents was protected).</w:t>
            </w:r>
          </w:p>
        </w:tc>
      </w:tr>
    </w:tbl>
    <w:p w14:paraId="40975688" w14:textId="77777777" w:rsidR="00C2168E" w:rsidRDefault="00C2168E" w:rsidP="00956C3A"/>
    <w:tbl>
      <w:tblPr>
        <w:tblStyle w:val="TableGrid"/>
        <w:tblW w:w="0" w:type="auto"/>
        <w:tblLook w:val="04A0" w:firstRow="1" w:lastRow="0" w:firstColumn="1" w:lastColumn="0" w:noHBand="0" w:noVBand="1"/>
      </w:tblPr>
      <w:tblGrid>
        <w:gridCol w:w="10308"/>
      </w:tblGrid>
      <w:tr w:rsidR="00956C3A" w14:paraId="09BE589C" w14:textId="77777777" w:rsidTr="00956C3A">
        <w:tc>
          <w:tcPr>
            <w:tcW w:w="10308" w:type="dxa"/>
          </w:tcPr>
          <w:p w14:paraId="652D1698" w14:textId="457ACFD4" w:rsidR="00956C3A" w:rsidRPr="00E07AE2" w:rsidRDefault="00956C3A" w:rsidP="00956C3A">
            <w:pPr>
              <w:spacing w:before="200"/>
              <w:rPr>
                <w:b/>
              </w:rPr>
            </w:pPr>
            <w:r w:rsidRPr="009A4556">
              <w:rPr>
                <w:b/>
                <w:bCs/>
                <w:caps/>
              </w:rPr>
              <w:t>C</w:t>
            </w:r>
            <w:r w:rsidR="009A4556" w:rsidRPr="009A4556">
              <w:rPr>
                <w:b/>
                <w:bCs/>
                <w:caps/>
              </w:rPr>
              <w:t>onsultation question</w:t>
            </w:r>
            <w:r w:rsidRPr="00E07AE2">
              <w:rPr>
                <w:b/>
              </w:rPr>
              <w:t>:</w:t>
            </w:r>
          </w:p>
          <w:p w14:paraId="0DC8A701" w14:textId="2F5873B8" w:rsidR="00956C3A" w:rsidRDefault="00956C3A" w:rsidP="00956C3A">
            <w:pPr>
              <w:pStyle w:val="ListParagraph"/>
              <w:numPr>
                <w:ilvl w:val="0"/>
                <w:numId w:val="65"/>
              </w:numPr>
              <w:spacing w:before="200" w:after="200"/>
            </w:pPr>
            <w:r>
              <w:t>How important is certainty in the level of capacity accreditation granted to intermittent plant, noting generators have access to capacity and energy streams of income?</w:t>
            </w:r>
          </w:p>
          <w:p w14:paraId="65BB8669" w14:textId="428BDAD6" w:rsidR="00956C3A" w:rsidRDefault="00956C3A" w:rsidP="00956C3A">
            <w:pPr>
              <w:pStyle w:val="ListParagraph"/>
              <w:numPr>
                <w:ilvl w:val="0"/>
                <w:numId w:val="65"/>
              </w:numPr>
              <w:spacing w:before="200" w:after="200"/>
            </w:pPr>
            <w:r>
              <w:t>What indicators provide the effective signals to prospective entrants about the benefits of connecting to the network including in areas where access is likely to be constrained?</w:t>
            </w:r>
          </w:p>
          <w:p w14:paraId="63D1FC06" w14:textId="27C2A42F" w:rsidR="00956C3A" w:rsidRDefault="00956C3A" w:rsidP="00A84DC7">
            <w:pPr>
              <w:pStyle w:val="ListParagraph"/>
              <w:numPr>
                <w:ilvl w:val="0"/>
                <w:numId w:val="65"/>
              </w:numPr>
              <w:spacing w:before="200" w:after="200"/>
            </w:pPr>
            <w:r>
              <w:t>What approach – a variable accreditation approach or an approach that preserves the accreditation of incumbents or early movers – is likely to result in long term efficient outcomes and best serv</w:t>
            </w:r>
            <w:r w:rsidR="00A84DC7">
              <w:t xml:space="preserve">e </w:t>
            </w:r>
            <w:r>
              <w:t>the interests of consumers? Why would that approach best achieve those outcomes?</w:t>
            </w:r>
          </w:p>
        </w:tc>
      </w:tr>
    </w:tbl>
    <w:p w14:paraId="6D1EA51B" w14:textId="48963602" w:rsidR="005A0604" w:rsidRDefault="005A0604" w:rsidP="00467277">
      <w:pPr>
        <w:pStyle w:val="Heading1"/>
        <w:keepNext/>
        <w:rPr>
          <w:lang w:eastAsia="en-AU"/>
        </w:rPr>
      </w:pPr>
      <w:bookmarkStart w:id="19" w:name="_Toc59188473"/>
      <w:r>
        <w:rPr>
          <w:lang w:eastAsia="en-AU"/>
        </w:rPr>
        <w:lastRenderedPageBreak/>
        <w:t xml:space="preserve">Management of </w:t>
      </w:r>
      <w:r w:rsidR="00957245">
        <w:rPr>
          <w:lang w:eastAsia="en-AU"/>
        </w:rPr>
        <w:t>m</w:t>
      </w:r>
      <w:r w:rsidR="00E34FA0">
        <w:rPr>
          <w:lang w:eastAsia="en-AU"/>
        </w:rPr>
        <w:t>aintenance via capacity out-of-</w:t>
      </w:r>
      <w:r w:rsidR="00BA53AA">
        <w:rPr>
          <w:lang w:eastAsia="en-AU"/>
        </w:rPr>
        <w:t>b</w:t>
      </w:r>
      <w:r>
        <w:rPr>
          <w:lang w:eastAsia="en-AU"/>
        </w:rPr>
        <w:t>alance</w:t>
      </w:r>
      <w:bookmarkEnd w:id="19"/>
    </w:p>
    <w:p w14:paraId="4BB0F31F" w14:textId="20FE6C91" w:rsidR="00516F2C" w:rsidRDefault="005A0604" w:rsidP="00467277">
      <w:pPr>
        <w:keepNext/>
        <w:rPr>
          <w:lang w:eastAsia="en-AU"/>
        </w:rPr>
      </w:pPr>
      <w:r>
        <w:rPr>
          <w:lang w:eastAsia="en-AU"/>
        </w:rPr>
        <w:t>From time to time</w:t>
      </w:r>
      <w:r w:rsidR="00A84DC7">
        <w:rPr>
          <w:lang w:eastAsia="en-AU"/>
        </w:rPr>
        <w:t>,</w:t>
      </w:r>
      <w:r>
        <w:rPr>
          <w:lang w:eastAsia="en-AU"/>
        </w:rPr>
        <w:t xml:space="preserve"> </w:t>
      </w:r>
      <w:r w:rsidR="00674AA5">
        <w:rPr>
          <w:lang w:eastAsia="en-AU"/>
        </w:rPr>
        <w:t>sources of</w:t>
      </w:r>
      <w:r w:rsidR="005E0CD1">
        <w:rPr>
          <w:lang w:eastAsia="en-AU"/>
        </w:rPr>
        <w:t xml:space="preserve"> capacity </w:t>
      </w:r>
      <w:r>
        <w:rPr>
          <w:lang w:eastAsia="en-AU"/>
        </w:rPr>
        <w:t>may suffer outages and</w:t>
      </w:r>
      <w:r w:rsidR="00516F2C">
        <w:rPr>
          <w:lang w:eastAsia="en-AU"/>
        </w:rPr>
        <w:t>/or</w:t>
      </w:r>
      <w:r>
        <w:rPr>
          <w:lang w:eastAsia="en-AU"/>
        </w:rPr>
        <w:t xml:space="preserve"> not have the </w:t>
      </w:r>
      <w:r w:rsidR="00516F2C">
        <w:rPr>
          <w:lang w:eastAsia="en-AU"/>
        </w:rPr>
        <w:t>c</w:t>
      </w:r>
      <w:r>
        <w:rPr>
          <w:lang w:eastAsia="en-AU"/>
        </w:rPr>
        <w:t xml:space="preserve">apacity or performance available that </w:t>
      </w:r>
      <w:r w:rsidR="00516F2C">
        <w:rPr>
          <w:lang w:eastAsia="en-AU"/>
        </w:rPr>
        <w:t xml:space="preserve">was </w:t>
      </w:r>
      <w:r>
        <w:rPr>
          <w:lang w:eastAsia="en-AU"/>
        </w:rPr>
        <w:t xml:space="preserve">expected. </w:t>
      </w:r>
      <w:r w:rsidR="00516F2C">
        <w:rPr>
          <w:lang w:eastAsia="en-AU"/>
        </w:rPr>
        <w:t>P</w:t>
      </w:r>
      <w:r>
        <w:rPr>
          <w:lang w:eastAsia="en-AU"/>
        </w:rPr>
        <w:t xml:space="preserve">lanned outages </w:t>
      </w:r>
      <w:r w:rsidR="00516F2C">
        <w:rPr>
          <w:lang w:eastAsia="en-AU"/>
        </w:rPr>
        <w:t xml:space="preserve">also occur </w:t>
      </w:r>
      <w:r>
        <w:rPr>
          <w:lang w:eastAsia="en-AU"/>
        </w:rPr>
        <w:t>for maintenance</w:t>
      </w:r>
      <w:r w:rsidR="00516F2C">
        <w:rPr>
          <w:lang w:eastAsia="en-AU"/>
        </w:rPr>
        <w:t xml:space="preserve"> purposes</w:t>
      </w:r>
      <w:r>
        <w:rPr>
          <w:lang w:eastAsia="en-AU"/>
        </w:rPr>
        <w:t xml:space="preserve">. These situations may result in </w:t>
      </w:r>
      <w:r w:rsidR="00516F2C">
        <w:rPr>
          <w:lang w:eastAsia="en-AU"/>
        </w:rPr>
        <w:t xml:space="preserve">what is referred to as </w:t>
      </w:r>
      <w:r w:rsidR="00FC3F0E">
        <w:rPr>
          <w:lang w:eastAsia="en-AU"/>
        </w:rPr>
        <w:t>‘</w:t>
      </w:r>
      <w:r w:rsidR="00BA53AA">
        <w:rPr>
          <w:lang w:eastAsia="en-AU"/>
        </w:rPr>
        <w:t>c</w:t>
      </w:r>
      <w:r>
        <w:rPr>
          <w:lang w:eastAsia="en-AU"/>
        </w:rPr>
        <w:t xml:space="preserve">apacity </w:t>
      </w:r>
      <w:r w:rsidR="00BA53AA">
        <w:rPr>
          <w:lang w:eastAsia="en-AU"/>
        </w:rPr>
        <w:t>o</w:t>
      </w:r>
      <w:r w:rsidR="00A84DC7">
        <w:rPr>
          <w:lang w:eastAsia="en-AU"/>
        </w:rPr>
        <w:t>ut-of-</w:t>
      </w:r>
      <w:r w:rsidR="00BA53AA">
        <w:rPr>
          <w:lang w:eastAsia="en-AU"/>
        </w:rPr>
        <w:t>b</w:t>
      </w:r>
      <w:r>
        <w:rPr>
          <w:lang w:eastAsia="en-AU"/>
        </w:rPr>
        <w:t>alance</w:t>
      </w:r>
      <w:r w:rsidR="00FC3F0E">
        <w:rPr>
          <w:lang w:eastAsia="en-AU"/>
        </w:rPr>
        <w:t>’</w:t>
      </w:r>
      <w:r w:rsidR="00516F2C">
        <w:rPr>
          <w:lang w:eastAsia="en-AU"/>
        </w:rPr>
        <w:t xml:space="preserve">, that is, </w:t>
      </w:r>
      <w:r w:rsidR="00BA53AA">
        <w:rPr>
          <w:lang w:eastAsia="en-AU"/>
        </w:rPr>
        <w:t xml:space="preserve">a </w:t>
      </w:r>
      <w:r>
        <w:rPr>
          <w:lang w:eastAsia="en-AU"/>
        </w:rPr>
        <w:t xml:space="preserve">failure </w:t>
      </w:r>
      <w:r w:rsidR="00C2168E">
        <w:rPr>
          <w:lang w:eastAsia="en-AU"/>
        </w:rPr>
        <w:t xml:space="preserve">(planned or unplanned) </w:t>
      </w:r>
      <w:r>
        <w:rPr>
          <w:lang w:eastAsia="en-AU"/>
        </w:rPr>
        <w:t xml:space="preserve">to provide </w:t>
      </w:r>
      <w:r w:rsidR="00516F2C">
        <w:rPr>
          <w:lang w:eastAsia="en-AU"/>
        </w:rPr>
        <w:t>the c</w:t>
      </w:r>
      <w:r>
        <w:rPr>
          <w:lang w:eastAsia="en-AU"/>
        </w:rPr>
        <w:t xml:space="preserve">apacity for which </w:t>
      </w:r>
      <w:r w:rsidR="00516F2C">
        <w:rPr>
          <w:lang w:eastAsia="en-AU"/>
        </w:rPr>
        <w:t>a generation unit is</w:t>
      </w:r>
      <w:r>
        <w:rPr>
          <w:lang w:eastAsia="en-AU"/>
        </w:rPr>
        <w:t xml:space="preserve"> accredited</w:t>
      </w:r>
      <w:r w:rsidR="00516F2C">
        <w:rPr>
          <w:lang w:eastAsia="en-AU"/>
        </w:rPr>
        <w:t xml:space="preserve"> </w:t>
      </w:r>
      <w:r w:rsidR="00FD1C61">
        <w:rPr>
          <w:lang w:eastAsia="en-AU"/>
        </w:rPr>
        <w:t xml:space="preserve">and contracted </w:t>
      </w:r>
      <w:r w:rsidR="00516F2C">
        <w:rPr>
          <w:lang w:eastAsia="en-AU"/>
        </w:rPr>
        <w:t>for</w:t>
      </w:r>
      <w:r w:rsidR="00BA53AA">
        <w:rPr>
          <w:lang w:eastAsia="en-AU"/>
        </w:rPr>
        <w:t>,</w:t>
      </w:r>
      <w:r>
        <w:rPr>
          <w:lang w:eastAsia="en-AU"/>
        </w:rPr>
        <w:t xml:space="preserve"> in accordance with the requirements t</w:t>
      </w:r>
      <w:r w:rsidR="00516F2C">
        <w:rPr>
          <w:lang w:eastAsia="en-AU"/>
        </w:rPr>
        <w:t>o meet the reliability standard.</w:t>
      </w:r>
    </w:p>
    <w:p w14:paraId="5E6BBEE8" w14:textId="2945DCD9" w:rsidR="005A0604" w:rsidRDefault="005C775A" w:rsidP="005A0604">
      <w:pPr>
        <w:rPr>
          <w:lang w:eastAsia="en-AU"/>
        </w:rPr>
      </w:pPr>
      <w:r>
        <w:rPr>
          <w:lang w:eastAsia="en-AU"/>
        </w:rPr>
        <w:t>Proposed c</w:t>
      </w:r>
      <w:r w:rsidR="005A0604">
        <w:rPr>
          <w:lang w:eastAsia="en-AU"/>
        </w:rPr>
        <w:t xml:space="preserve">apacity </w:t>
      </w:r>
      <w:r w:rsidR="004D74CB">
        <w:rPr>
          <w:lang w:eastAsia="en-AU"/>
        </w:rPr>
        <w:t>o</w:t>
      </w:r>
      <w:r w:rsidR="00E34FA0">
        <w:rPr>
          <w:lang w:eastAsia="en-AU"/>
        </w:rPr>
        <w:t>ut-of-</w:t>
      </w:r>
      <w:r w:rsidR="004D74CB">
        <w:rPr>
          <w:lang w:eastAsia="en-AU"/>
        </w:rPr>
        <w:t>b</w:t>
      </w:r>
      <w:r w:rsidR="005A0604">
        <w:rPr>
          <w:lang w:eastAsia="en-AU"/>
        </w:rPr>
        <w:t xml:space="preserve">alance arrangements </w:t>
      </w:r>
      <w:r w:rsidR="004D74CB">
        <w:rPr>
          <w:lang w:eastAsia="en-AU"/>
        </w:rPr>
        <w:t>are intended to</w:t>
      </w:r>
      <w:r w:rsidR="005A0604">
        <w:rPr>
          <w:lang w:eastAsia="en-AU"/>
        </w:rPr>
        <w:t xml:space="preserve"> create incentives to manage the timing of outages to avoid times when there is low </w:t>
      </w:r>
      <w:r w:rsidR="004D74CB">
        <w:rPr>
          <w:lang w:eastAsia="en-AU"/>
        </w:rPr>
        <w:t>r</w:t>
      </w:r>
      <w:r w:rsidR="005A0604">
        <w:rPr>
          <w:lang w:eastAsia="en-AU"/>
        </w:rPr>
        <w:t xml:space="preserve">eserve </w:t>
      </w:r>
      <w:r w:rsidR="004D74CB">
        <w:rPr>
          <w:lang w:eastAsia="en-AU"/>
        </w:rPr>
        <w:t>c</w:t>
      </w:r>
      <w:r w:rsidR="005A0604">
        <w:rPr>
          <w:lang w:eastAsia="en-AU"/>
        </w:rPr>
        <w:t>apacity available, and to plan and coordinate maintenance. These incentives</w:t>
      </w:r>
      <w:r w:rsidR="004064BF">
        <w:rPr>
          <w:lang w:eastAsia="en-AU"/>
        </w:rPr>
        <w:t xml:space="preserve">, </w:t>
      </w:r>
      <w:r w:rsidR="00C2168E">
        <w:rPr>
          <w:lang w:eastAsia="en-AU"/>
        </w:rPr>
        <w:t xml:space="preserve">together </w:t>
      </w:r>
      <w:r w:rsidR="004064BF">
        <w:rPr>
          <w:lang w:eastAsia="en-AU"/>
        </w:rPr>
        <w:t xml:space="preserve">with </w:t>
      </w:r>
      <w:r w:rsidR="007B05C3">
        <w:rPr>
          <w:lang w:eastAsia="en-AU"/>
        </w:rPr>
        <w:t>the System Controller’s</w:t>
      </w:r>
      <w:r w:rsidR="005A0604">
        <w:rPr>
          <w:lang w:eastAsia="en-AU"/>
        </w:rPr>
        <w:t xml:space="preserve"> ma</w:t>
      </w:r>
      <w:r w:rsidR="004D74CB">
        <w:rPr>
          <w:lang w:eastAsia="en-AU"/>
        </w:rPr>
        <w:t>nagement of planned maintenance</w:t>
      </w:r>
      <w:r w:rsidR="004064BF">
        <w:rPr>
          <w:lang w:eastAsia="en-AU"/>
        </w:rPr>
        <w:t>,</w:t>
      </w:r>
      <w:r w:rsidR="004D74CB">
        <w:rPr>
          <w:lang w:eastAsia="en-AU"/>
        </w:rPr>
        <w:t xml:space="preserve"> </w:t>
      </w:r>
      <w:r w:rsidR="004064BF">
        <w:rPr>
          <w:lang w:eastAsia="en-AU"/>
        </w:rPr>
        <w:t xml:space="preserve">will </w:t>
      </w:r>
      <w:r w:rsidR="004D74CB">
        <w:rPr>
          <w:lang w:eastAsia="en-AU"/>
        </w:rPr>
        <w:t>ensure p</w:t>
      </w:r>
      <w:r w:rsidR="005A0604">
        <w:rPr>
          <w:lang w:eastAsia="en-AU"/>
        </w:rPr>
        <w:t xml:space="preserve">oor performing generation plant </w:t>
      </w:r>
      <w:r w:rsidR="00734B49">
        <w:rPr>
          <w:lang w:eastAsia="en-AU"/>
        </w:rPr>
        <w:t>are</w:t>
      </w:r>
      <w:r w:rsidR="00A46455">
        <w:rPr>
          <w:lang w:eastAsia="en-AU"/>
        </w:rPr>
        <w:t xml:space="preserve"> exposed to incentives to improve</w:t>
      </w:r>
      <w:r w:rsidR="00734B49">
        <w:rPr>
          <w:lang w:eastAsia="en-AU"/>
        </w:rPr>
        <w:t xml:space="preserve"> performance</w:t>
      </w:r>
      <w:r w:rsidR="00A46455">
        <w:rPr>
          <w:lang w:eastAsia="en-AU"/>
        </w:rPr>
        <w:t>.</w:t>
      </w:r>
    </w:p>
    <w:p w14:paraId="6CD6E3D3" w14:textId="65A66F1C" w:rsidR="000B2A5C" w:rsidRDefault="005C775A" w:rsidP="00DC09AD">
      <w:pPr>
        <w:rPr>
          <w:lang w:eastAsia="en-AU"/>
        </w:rPr>
      </w:pPr>
      <w:r>
        <w:rPr>
          <w:lang w:eastAsia="en-AU"/>
        </w:rPr>
        <w:t xml:space="preserve">It is proposed that </w:t>
      </w:r>
      <w:r w:rsidR="00C67454">
        <w:rPr>
          <w:lang w:eastAsia="en-AU"/>
        </w:rPr>
        <w:t xml:space="preserve">capacity providers </w:t>
      </w:r>
      <w:r w:rsidR="00DC09AD">
        <w:rPr>
          <w:lang w:eastAsia="en-AU"/>
        </w:rPr>
        <w:t xml:space="preserve">pay or receive payment if they present less or more </w:t>
      </w:r>
      <w:r w:rsidR="0028370B">
        <w:rPr>
          <w:lang w:eastAsia="en-AU"/>
        </w:rPr>
        <w:t>c</w:t>
      </w:r>
      <w:r w:rsidR="00DC09AD">
        <w:rPr>
          <w:lang w:eastAsia="en-AU"/>
        </w:rPr>
        <w:t xml:space="preserve">apacity than their </w:t>
      </w:r>
      <w:r w:rsidR="0028370B">
        <w:rPr>
          <w:lang w:eastAsia="en-AU"/>
        </w:rPr>
        <w:t>a</w:t>
      </w:r>
      <w:r w:rsidR="00DC09AD">
        <w:rPr>
          <w:lang w:eastAsia="en-AU"/>
        </w:rPr>
        <w:t xml:space="preserve">ccredited </w:t>
      </w:r>
      <w:r w:rsidR="0028370B">
        <w:rPr>
          <w:lang w:eastAsia="en-AU"/>
        </w:rPr>
        <w:t>c</w:t>
      </w:r>
      <w:r w:rsidR="00DC09AD">
        <w:rPr>
          <w:lang w:eastAsia="en-AU"/>
        </w:rPr>
        <w:t>apacity</w:t>
      </w:r>
      <w:r w:rsidR="00BB7142">
        <w:rPr>
          <w:lang w:eastAsia="en-AU"/>
        </w:rPr>
        <w:t>, for each half hour</w:t>
      </w:r>
      <w:r w:rsidR="00DC09AD">
        <w:rPr>
          <w:lang w:eastAsia="en-AU"/>
        </w:rPr>
        <w:t>.</w:t>
      </w:r>
      <w:r w:rsidR="00830439">
        <w:rPr>
          <w:lang w:eastAsia="en-AU"/>
        </w:rPr>
        <w:t xml:space="preserve"> </w:t>
      </w:r>
      <w:r w:rsidR="00DC09AD">
        <w:rPr>
          <w:lang w:eastAsia="en-AU"/>
        </w:rPr>
        <w:t xml:space="preserve">The payment </w:t>
      </w:r>
      <w:r w:rsidR="0011688A">
        <w:rPr>
          <w:lang w:eastAsia="en-AU"/>
        </w:rPr>
        <w:t xml:space="preserve">(facilitated through a centralised Market Operator settlement arrangement) </w:t>
      </w:r>
      <w:r w:rsidR="00DC09AD">
        <w:rPr>
          <w:lang w:eastAsia="en-AU"/>
        </w:rPr>
        <w:t>will reflect</w:t>
      </w:r>
      <w:r w:rsidR="0028370B">
        <w:rPr>
          <w:lang w:eastAsia="en-AU"/>
        </w:rPr>
        <w:t xml:space="preserve"> t</w:t>
      </w:r>
      <w:r w:rsidR="00DC09AD">
        <w:rPr>
          <w:lang w:eastAsia="en-AU"/>
        </w:rPr>
        <w:t>he difference between actual availability</w:t>
      </w:r>
      <w:r w:rsidR="000B2A5C">
        <w:rPr>
          <w:lang w:eastAsia="en-AU"/>
        </w:rPr>
        <w:t xml:space="preserve"> for dispatch,</w:t>
      </w:r>
      <w:r w:rsidR="00DC09AD">
        <w:rPr>
          <w:lang w:eastAsia="en-AU"/>
        </w:rPr>
        <w:t xml:space="preserve"> </w:t>
      </w:r>
      <w:r w:rsidR="00FA7358">
        <w:rPr>
          <w:lang w:eastAsia="en-AU"/>
        </w:rPr>
        <w:t>regardless of</w:t>
      </w:r>
      <w:r w:rsidR="00DC09AD">
        <w:rPr>
          <w:lang w:eastAsia="en-AU"/>
        </w:rPr>
        <w:t xml:space="preserve"> </w:t>
      </w:r>
      <w:r w:rsidR="000B2A5C">
        <w:rPr>
          <w:lang w:eastAsia="en-AU"/>
        </w:rPr>
        <w:t xml:space="preserve">whether the unit is dispatched at the time </w:t>
      </w:r>
      <w:r w:rsidR="00DC09AD">
        <w:rPr>
          <w:lang w:eastAsia="en-AU"/>
        </w:rPr>
        <w:t xml:space="preserve">and accredited </w:t>
      </w:r>
      <w:r w:rsidR="00E34FA0">
        <w:rPr>
          <w:lang w:eastAsia="en-AU"/>
        </w:rPr>
        <w:t>capacity, termed a capacity out-of-</w:t>
      </w:r>
      <w:r w:rsidR="00DC09AD">
        <w:rPr>
          <w:lang w:eastAsia="en-AU"/>
        </w:rPr>
        <w:t>balance</w:t>
      </w:r>
      <w:r w:rsidR="00BB7142">
        <w:rPr>
          <w:lang w:eastAsia="en-AU"/>
        </w:rPr>
        <w:t xml:space="preserve">. </w:t>
      </w:r>
    </w:p>
    <w:p w14:paraId="7EB293C8" w14:textId="2789323E" w:rsidR="0028370B" w:rsidRDefault="00BB7142" w:rsidP="00DC09AD">
      <w:pPr>
        <w:rPr>
          <w:lang w:eastAsia="en-AU"/>
        </w:rPr>
      </w:pPr>
      <w:r>
        <w:rPr>
          <w:lang w:eastAsia="en-AU"/>
        </w:rPr>
        <w:t xml:space="preserve">The payment is proposed to </w:t>
      </w:r>
      <w:r w:rsidR="000B2A5C">
        <w:rPr>
          <w:lang w:eastAsia="en-AU"/>
        </w:rPr>
        <w:t xml:space="preserve">be calculated from </w:t>
      </w:r>
      <w:r w:rsidR="0028370B">
        <w:rPr>
          <w:lang w:eastAsia="en-AU"/>
        </w:rPr>
        <w:t>the c</w:t>
      </w:r>
      <w:r w:rsidR="00DC09AD">
        <w:rPr>
          <w:lang w:eastAsia="en-AU"/>
        </w:rPr>
        <w:t xml:space="preserve">apacity </w:t>
      </w:r>
      <w:r w:rsidR="0028370B">
        <w:rPr>
          <w:lang w:eastAsia="en-AU"/>
        </w:rPr>
        <w:t>p</w:t>
      </w:r>
      <w:r w:rsidR="00DC09AD">
        <w:rPr>
          <w:lang w:eastAsia="en-AU"/>
        </w:rPr>
        <w:t xml:space="preserve">rice </w:t>
      </w:r>
      <w:r>
        <w:rPr>
          <w:lang w:eastAsia="en-AU"/>
        </w:rPr>
        <w:t>for the</w:t>
      </w:r>
      <w:r w:rsidR="00DC09AD">
        <w:rPr>
          <w:lang w:eastAsia="en-AU"/>
        </w:rPr>
        <w:t xml:space="preserve"> year</w:t>
      </w:r>
      <w:r w:rsidR="000B2A5C">
        <w:rPr>
          <w:lang w:eastAsia="en-AU"/>
        </w:rPr>
        <w:t xml:space="preserve">, </w:t>
      </w:r>
      <w:r w:rsidR="0028370B">
        <w:rPr>
          <w:lang w:eastAsia="en-AU"/>
        </w:rPr>
        <w:t>a</w:t>
      </w:r>
      <w:r w:rsidR="00DC09AD">
        <w:rPr>
          <w:lang w:eastAsia="en-AU"/>
        </w:rPr>
        <w:t xml:space="preserve"> </w:t>
      </w:r>
      <w:r w:rsidR="000B2A5C">
        <w:rPr>
          <w:lang w:eastAsia="en-AU"/>
        </w:rPr>
        <w:t xml:space="preserve">reserve </w:t>
      </w:r>
      <w:r w:rsidR="0028370B">
        <w:rPr>
          <w:lang w:eastAsia="en-AU"/>
        </w:rPr>
        <w:t>s</w:t>
      </w:r>
      <w:r w:rsidR="00DC09AD">
        <w:rPr>
          <w:lang w:eastAsia="en-AU"/>
        </w:rPr>
        <w:t xml:space="preserve">caling </w:t>
      </w:r>
      <w:r w:rsidR="0028370B">
        <w:rPr>
          <w:lang w:eastAsia="en-AU"/>
        </w:rPr>
        <w:t>f</w:t>
      </w:r>
      <w:r w:rsidR="00DC09AD">
        <w:rPr>
          <w:lang w:eastAsia="en-AU"/>
        </w:rPr>
        <w:t>actor</w:t>
      </w:r>
      <w:r w:rsidR="000B2A5C">
        <w:rPr>
          <w:lang w:eastAsia="en-AU"/>
        </w:rPr>
        <w:t xml:space="preserve"> related to actual total system reserve and a cap related to whether the capacity reductions had been pre-approved by the System Controller</w:t>
      </w:r>
      <w:r w:rsidR="0028370B">
        <w:rPr>
          <w:lang w:eastAsia="en-AU"/>
        </w:rPr>
        <w:t>.</w:t>
      </w:r>
    </w:p>
    <w:p w14:paraId="23DC56A5" w14:textId="353ACEF4" w:rsidR="00631143" w:rsidRDefault="00215936" w:rsidP="00631143">
      <w:pPr>
        <w:rPr>
          <w:lang w:eastAsia="en-AU"/>
        </w:rPr>
      </w:pPr>
      <w:r>
        <w:rPr>
          <w:lang w:eastAsia="en-AU"/>
        </w:rPr>
        <w:t>The arrangement would apply to all accredited capacity that is part of retailers’ obligation</w:t>
      </w:r>
      <w:r w:rsidR="007B05C3">
        <w:rPr>
          <w:lang w:eastAsia="en-AU"/>
        </w:rPr>
        <w:t>s</w:t>
      </w:r>
      <w:r>
        <w:rPr>
          <w:lang w:eastAsia="en-AU"/>
        </w:rPr>
        <w:t>, regardless of whether it is contracted by retailers or the Reliability Manager</w:t>
      </w:r>
      <w:r w:rsidR="002C69F6">
        <w:rPr>
          <w:lang w:eastAsia="en-AU"/>
        </w:rPr>
        <w:t xml:space="preserve"> on behalf </w:t>
      </w:r>
      <w:r w:rsidR="008271D9">
        <w:rPr>
          <w:lang w:eastAsia="en-AU"/>
        </w:rPr>
        <w:t xml:space="preserve">of </w:t>
      </w:r>
      <w:r w:rsidR="002C69F6">
        <w:rPr>
          <w:lang w:eastAsia="en-AU"/>
        </w:rPr>
        <w:t>retailer(s)</w:t>
      </w:r>
      <w:r>
        <w:rPr>
          <w:lang w:eastAsia="en-AU"/>
        </w:rPr>
        <w:t xml:space="preserve">. </w:t>
      </w:r>
      <w:r w:rsidR="002C69F6">
        <w:rPr>
          <w:lang w:eastAsia="en-AU"/>
        </w:rPr>
        <w:t>Where capacity is procured by the Reliability Manager on a retailer’s behalf, the relevant retailer w</w:t>
      </w:r>
      <w:r w:rsidR="00E34FA0">
        <w:rPr>
          <w:lang w:eastAsia="en-AU"/>
        </w:rPr>
        <w:t>ill pay or receive capacity out-of-</w:t>
      </w:r>
      <w:r w:rsidR="002C69F6">
        <w:rPr>
          <w:lang w:eastAsia="en-AU"/>
        </w:rPr>
        <w:t xml:space="preserve">balance </w:t>
      </w:r>
      <w:r w:rsidR="00A96ADD">
        <w:rPr>
          <w:lang w:eastAsia="en-AU"/>
        </w:rPr>
        <w:t xml:space="preserve">payments </w:t>
      </w:r>
      <w:r w:rsidR="002C69F6">
        <w:rPr>
          <w:lang w:eastAsia="en-AU"/>
        </w:rPr>
        <w:t xml:space="preserve">relating to the proportion of capacity the Reliability Manager procured on </w:t>
      </w:r>
      <w:r w:rsidR="00C67454">
        <w:rPr>
          <w:lang w:eastAsia="en-AU"/>
        </w:rPr>
        <w:t>its</w:t>
      </w:r>
      <w:r w:rsidR="002C69F6">
        <w:rPr>
          <w:lang w:eastAsia="en-AU"/>
        </w:rPr>
        <w:t xml:space="preserve"> behalf.</w:t>
      </w:r>
      <w:r w:rsidR="002C69F6" w:rsidDel="002C69F6">
        <w:rPr>
          <w:lang w:eastAsia="en-AU"/>
        </w:rPr>
        <w:t xml:space="preserve"> </w:t>
      </w:r>
    </w:p>
    <w:p w14:paraId="56F4BC80" w14:textId="34FA8E6B" w:rsidR="004E1495" w:rsidRDefault="004E1495" w:rsidP="009E33D7">
      <w:pPr>
        <w:pStyle w:val="Heading2"/>
        <w:rPr>
          <w:lang w:eastAsia="en-AU"/>
        </w:rPr>
      </w:pPr>
      <w:bookmarkStart w:id="20" w:name="_Toc59188474"/>
      <w:r>
        <w:rPr>
          <w:lang w:eastAsia="en-AU"/>
        </w:rPr>
        <w:t>Reserve factor</w:t>
      </w:r>
      <w:bookmarkEnd w:id="20"/>
    </w:p>
    <w:p w14:paraId="43E2F5C1" w14:textId="754070EE" w:rsidR="008C4125" w:rsidRDefault="00F026C2" w:rsidP="0028370B">
      <w:pPr>
        <w:rPr>
          <w:lang w:eastAsia="en-AU"/>
        </w:rPr>
      </w:pPr>
      <w:r>
        <w:rPr>
          <w:lang w:eastAsia="en-AU"/>
        </w:rPr>
        <w:t>T</w:t>
      </w:r>
      <w:r w:rsidR="0028370B">
        <w:rPr>
          <w:lang w:eastAsia="en-AU"/>
        </w:rPr>
        <w:t xml:space="preserve">he </w:t>
      </w:r>
      <w:r w:rsidR="004E1495">
        <w:rPr>
          <w:lang w:eastAsia="en-AU"/>
        </w:rPr>
        <w:t xml:space="preserve">reserve </w:t>
      </w:r>
      <w:r w:rsidR="0028370B">
        <w:rPr>
          <w:lang w:eastAsia="en-AU"/>
        </w:rPr>
        <w:t>factor is int</w:t>
      </w:r>
      <w:r w:rsidR="00E34FA0">
        <w:rPr>
          <w:lang w:eastAsia="en-AU"/>
        </w:rPr>
        <w:t>ended to align the capacity out-of-</w:t>
      </w:r>
      <w:r w:rsidR="0028370B">
        <w:rPr>
          <w:lang w:eastAsia="en-AU"/>
        </w:rPr>
        <w:t>balance charge with the incremental value of capacity</w:t>
      </w:r>
      <w:r w:rsidR="000B2A5C">
        <w:rPr>
          <w:lang w:eastAsia="en-AU"/>
        </w:rPr>
        <w:t xml:space="preserve"> to customers at the time</w:t>
      </w:r>
      <w:r w:rsidR="008C4125">
        <w:rPr>
          <w:lang w:eastAsia="en-AU"/>
        </w:rPr>
        <w:t xml:space="preserve">.  </w:t>
      </w:r>
      <w:r w:rsidR="00A84DC7">
        <w:rPr>
          <w:lang w:eastAsia="en-AU"/>
        </w:rPr>
        <w:t>It</w:t>
      </w:r>
      <w:r w:rsidR="008C4125">
        <w:rPr>
          <w:lang w:eastAsia="en-AU"/>
        </w:rPr>
        <w:t xml:space="preserve"> will </w:t>
      </w:r>
      <w:r w:rsidR="00A84DC7">
        <w:rPr>
          <w:lang w:eastAsia="en-AU"/>
        </w:rPr>
        <w:t xml:space="preserve">also </w:t>
      </w:r>
      <w:r w:rsidR="00460113">
        <w:rPr>
          <w:lang w:eastAsia="en-AU"/>
        </w:rPr>
        <w:t>create an incentive to manage the timing of inevitable reductions in capacity</w:t>
      </w:r>
      <w:r w:rsidR="0028370B">
        <w:rPr>
          <w:lang w:eastAsia="en-AU"/>
        </w:rPr>
        <w:t xml:space="preserve">. </w:t>
      </w:r>
    </w:p>
    <w:p w14:paraId="05F05C0F" w14:textId="59F94065" w:rsidR="0028370B" w:rsidRDefault="00460113" w:rsidP="0028370B">
      <w:pPr>
        <w:rPr>
          <w:lang w:eastAsia="en-AU"/>
        </w:rPr>
      </w:pPr>
      <w:r>
        <w:rPr>
          <w:lang w:eastAsia="en-AU"/>
        </w:rPr>
        <w:t xml:space="preserve">The </w:t>
      </w:r>
      <w:r w:rsidR="008C4125">
        <w:rPr>
          <w:lang w:eastAsia="en-AU"/>
        </w:rPr>
        <w:t xml:space="preserve">reserve </w:t>
      </w:r>
      <w:r>
        <w:rPr>
          <w:lang w:eastAsia="en-AU"/>
        </w:rPr>
        <w:t xml:space="preserve">factor </w:t>
      </w:r>
      <w:r w:rsidR="008A5FB6">
        <w:rPr>
          <w:lang w:eastAsia="en-AU"/>
        </w:rPr>
        <w:t xml:space="preserve">follows the shape of the relationship between the level of reserve capacity and the economic value </w:t>
      </w:r>
      <w:r w:rsidR="00C2168E">
        <w:rPr>
          <w:lang w:eastAsia="en-AU"/>
        </w:rPr>
        <w:t>at risk f</w:t>
      </w:r>
      <w:r w:rsidR="00A84DC7">
        <w:rPr>
          <w:lang w:eastAsia="en-AU"/>
        </w:rPr>
        <w:t>rom</w:t>
      </w:r>
      <w:r w:rsidR="00C2168E">
        <w:rPr>
          <w:lang w:eastAsia="en-AU"/>
        </w:rPr>
        <w:t xml:space="preserve"> a </w:t>
      </w:r>
      <w:r w:rsidR="008A5FB6">
        <w:rPr>
          <w:lang w:eastAsia="en-AU"/>
        </w:rPr>
        <w:t xml:space="preserve">shortfall in supply. </w:t>
      </w:r>
      <w:r w:rsidR="0028370B">
        <w:rPr>
          <w:lang w:eastAsia="en-AU"/>
        </w:rPr>
        <w:t xml:space="preserve">The incremental value of capacity to customers </w:t>
      </w:r>
      <w:r w:rsidR="009B61B3">
        <w:rPr>
          <w:lang w:eastAsia="en-AU"/>
        </w:rPr>
        <w:t xml:space="preserve">is </w:t>
      </w:r>
      <w:r w:rsidR="00F4797B">
        <w:rPr>
          <w:lang w:eastAsia="en-AU"/>
        </w:rPr>
        <w:t xml:space="preserve">the </w:t>
      </w:r>
      <w:r w:rsidR="009B61B3">
        <w:rPr>
          <w:lang w:eastAsia="en-AU"/>
        </w:rPr>
        <w:t xml:space="preserve">value of </w:t>
      </w:r>
      <w:r w:rsidR="00F4797B">
        <w:rPr>
          <w:lang w:eastAsia="en-AU"/>
        </w:rPr>
        <w:t xml:space="preserve">a </w:t>
      </w:r>
      <w:r w:rsidR="009B61B3">
        <w:rPr>
          <w:lang w:eastAsia="en-AU"/>
        </w:rPr>
        <w:t>small increase or decrease in the available capacity.  Th</w:t>
      </w:r>
      <w:r w:rsidR="00F026C2">
        <w:rPr>
          <w:lang w:eastAsia="en-AU"/>
        </w:rPr>
        <w:t>is</w:t>
      </w:r>
      <w:r w:rsidR="009B61B3">
        <w:rPr>
          <w:lang w:eastAsia="en-AU"/>
        </w:rPr>
        <w:t xml:space="preserve"> value increases as reserve falls and the risk of shortfall rises</w:t>
      </w:r>
      <w:r w:rsidR="00F4797B">
        <w:rPr>
          <w:lang w:eastAsia="en-AU"/>
        </w:rPr>
        <w:t xml:space="preserve">. The value decreases </w:t>
      </w:r>
      <w:r w:rsidR="009B61B3">
        <w:rPr>
          <w:lang w:eastAsia="en-AU"/>
        </w:rPr>
        <w:t>when reserve is higher and the impact of a small increase or decrease in available capacity has less impact on risk of shortfall.</w:t>
      </w:r>
      <w:r w:rsidR="009B61B3">
        <w:rPr>
          <w:rStyle w:val="FootnoteReference"/>
          <w:lang w:eastAsia="en-AU"/>
        </w:rPr>
        <w:footnoteReference w:id="13"/>
      </w:r>
    </w:p>
    <w:p w14:paraId="6613B8C8" w14:textId="3F7A7FC7" w:rsidR="00734F85" w:rsidRDefault="00956C3A" w:rsidP="00645719">
      <w:pPr>
        <w:rPr>
          <w:lang w:eastAsia="en-AU"/>
        </w:rPr>
      </w:pPr>
      <w:r>
        <w:rPr>
          <w:lang w:eastAsia="en-AU"/>
        </w:rPr>
        <w:t>Figure 2 illustrates</w:t>
      </w:r>
      <w:r w:rsidR="004E1495">
        <w:rPr>
          <w:lang w:eastAsia="en-AU"/>
        </w:rPr>
        <w:t xml:space="preserve"> </w:t>
      </w:r>
      <w:r w:rsidR="000C4CD4">
        <w:rPr>
          <w:lang w:eastAsia="en-AU"/>
        </w:rPr>
        <w:t xml:space="preserve">a typical profile of a </w:t>
      </w:r>
      <w:r w:rsidR="004E1495">
        <w:rPr>
          <w:lang w:eastAsia="en-AU"/>
        </w:rPr>
        <w:t>reserve factor</w:t>
      </w:r>
      <w:r w:rsidR="00A84DC7">
        <w:rPr>
          <w:lang w:eastAsia="en-AU"/>
        </w:rPr>
        <w:t xml:space="preserve">. </w:t>
      </w:r>
      <w:r w:rsidR="005A77B8">
        <w:rPr>
          <w:lang w:eastAsia="en-AU"/>
        </w:rPr>
        <w:t xml:space="preserve">The profile is an approximation of the incremental value of reserve and economic cost to </w:t>
      </w:r>
      <w:r w:rsidR="00A84DC7">
        <w:rPr>
          <w:lang w:eastAsia="en-AU"/>
        </w:rPr>
        <w:t xml:space="preserve">the </w:t>
      </w:r>
      <w:r w:rsidR="005A77B8">
        <w:rPr>
          <w:lang w:eastAsia="en-AU"/>
        </w:rPr>
        <w:t>customer of a shortfall in supply</w:t>
      </w:r>
      <w:r w:rsidR="00F4797B">
        <w:rPr>
          <w:lang w:eastAsia="en-AU"/>
        </w:rPr>
        <w:t>. Values</w:t>
      </w:r>
      <w:r w:rsidR="0097495D">
        <w:rPr>
          <w:lang w:eastAsia="en-AU"/>
        </w:rPr>
        <w:t xml:space="preserve"> and steps </w:t>
      </w:r>
      <w:r w:rsidR="00F4797B">
        <w:rPr>
          <w:lang w:eastAsia="en-AU"/>
        </w:rPr>
        <w:t xml:space="preserve">are </w:t>
      </w:r>
      <w:r w:rsidR="0097495D">
        <w:rPr>
          <w:lang w:eastAsia="en-AU"/>
        </w:rPr>
        <w:t>chosen to balance incentives for generators to ensure capacity is available at the times it is needed</w:t>
      </w:r>
      <w:r w:rsidR="00FF6001">
        <w:rPr>
          <w:lang w:eastAsia="en-AU"/>
        </w:rPr>
        <w:t xml:space="preserve">, while also ensuring the scaling factor for low reserve does not result </w:t>
      </w:r>
      <w:r w:rsidR="00913906">
        <w:rPr>
          <w:lang w:eastAsia="en-AU"/>
        </w:rPr>
        <w:t>in</w:t>
      </w:r>
      <w:r w:rsidR="008C4125">
        <w:rPr>
          <w:lang w:eastAsia="en-AU"/>
        </w:rPr>
        <w:t xml:space="preserve"> a</w:t>
      </w:r>
      <w:r w:rsidR="00913906">
        <w:rPr>
          <w:lang w:eastAsia="en-AU"/>
        </w:rPr>
        <w:t xml:space="preserve"> </w:t>
      </w:r>
      <w:r w:rsidR="00460113">
        <w:rPr>
          <w:lang w:eastAsia="en-AU"/>
        </w:rPr>
        <w:t xml:space="preserve">detrimental </w:t>
      </w:r>
      <w:r w:rsidR="0097495D">
        <w:rPr>
          <w:lang w:eastAsia="en-AU"/>
        </w:rPr>
        <w:t>financial impact.</w:t>
      </w:r>
      <w:r w:rsidR="00A46455">
        <w:rPr>
          <w:lang w:eastAsia="en-AU"/>
        </w:rPr>
        <w:t xml:space="preserve">  The overall effect is designed to be a pragmatic incentive that is directionally correct</w:t>
      </w:r>
      <w:r w:rsidR="00C3202C">
        <w:rPr>
          <w:lang w:eastAsia="en-AU"/>
        </w:rPr>
        <w:t xml:space="preserve"> but unavoidably contains a number of judgemental design choices.</w:t>
      </w:r>
    </w:p>
    <w:p w14:paraId="1DA4AE8B" w14:textId="544502CE" w:rsidR="009A176D" w:rsidRPr="00734F85" w:rsidRDefault="00734F85" w:rsidP="00734F85">
      <w:pPr>
        <w:pStyle w:val="Caption"/>
        <w:keepNext/>
        <w:rPr>
          <w:b/>
          <w:lang w:eastAsia="en-AU"/>
        </w:rPr>
      </w:pPr>
      <w:bookmarkStart w:id="21" w:name="_Ref45788536"/>
      <w:r w:rsidRPr="00734F85">
        <w:rPr>
          <w:b/>
        </w:rPr>
        <w:lastRenderedPageBreak/>
        <w:t xml:space="preserve">Figure </w:t>
      </w:r>
      <w:bookmarkEnd w:id="21"/>
      <w:proofErr w:type="gramStart"/>
      <w:r w:rsidR="00956C3A">
        <w:rPr>
          <w:b/>
        </w:rPr>
        <w:t xml:space="preserve">2 </w:t>
      </w:r>
      <w:r w:rsidRPr="00734F85">
        <w:rPr>
          <w:b/>
        </w:rPr>
        <w:t xml:space="preserve"> Illustrative</w:t>
      </w:r>
      <w:proofErr w:type="gramEnd"/>
      <w:r w:rsidRPr="00734F85">
        <w:rPr>
          <w:b/>
        </w:rPr>
        <w:t xml:space="preserve"> </w:t>
      </w:r>
      <w:r w:rsidR="00F026C2">
        <w:rPr>
          <w:b/>
        </w:rPr>
        <w:t xml:space="preserve">reserve </w:t>
      </w:r>
      <w:r w:rsidRPr="00734F85">
        <w:rPr>
          <w:b/>
        </w:rPr>
        <w:t>factor compared to reserve capacity</w:t>
      </w:r>
    </w:p>
    <w:p w14:paraId="51C8D4D3" w14:textId="7A1CD48E" w:rsidR="00DC09AD" w:rsidRDefault="00FA7358" w:rsidP="00734F85">
      <w:pPr>
        <w:keepNext/>
        <w:rPr>
          <w:lang w:eastAsia="en-AU"/>
        </w:rPr>
      </w:pPr>
      <w:r>
        <w:rPr>
          <w:noProof/>
          <w:lang w:eastAsia="en-AU"/>
        </w:rPr>
        <w:drawing>
          <wp:inline distT="0" distB="0" distL="0" distR="0" wp14:anchorId="3EE5E456" wp14:editId="3C612F07">
            <wp:extent cx="5295014" cy="3175248"/>
            <wp:effectExtent l="0" t="0" r="1270" b="6350"/>
            <wp:docPr id="10" name="Picture 10" descr="See descrip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13227" cy="3186170"/>
                    </a:xfrm>
                    <a:prstGeom prst="rect">
                      <a:avLst/>
                    </a:prstGeom>
                    <a:noFill/>
                  </pic:spPr>
                </pic:pic>
              </a:graphicData>
            </a:graphic>
          </wp:inline>
        </w:drawing>
      </w:r>
      <w:r w:rsidR="00DC09AD">
        <w:rPr>
          <w:lang w:eastAsia="en-AU"/>
        </w:rPr>
        <w:t xml:space="preserve"> </w:t>
      </w:r>
    </w:p>
    <w:p w14:paraId="4ACB8145" w14:textId="3DAE3F5B" w:rsidR="000C4CD4" w:rsidRDefault="00FF6001" w:rsidP="000C4CD4">
      <w:pPr>
        <w:rPr>
          <w:lang w:eastAsia="en-AU"/>
        </w:rPr>
      </w:pPr>
      <w:r w:rsidRPr="00642EE0">
        <w:rPr>
          <w:lang w:eastAsia="en-AU"/>
        </w:rPr>
        <w:t xml:space="preserve">The following provides </w:t>
      </w:r>
      <w:r w:rsidRPr="00587184">
        <w:rPr>
          <w:lang w:eastAsia="en-AU"/>
        </w:rPr>
        <w:t xml:space="preserve">an </w:t>
      </w:r>
      <w:r>
        <w:rPr>
          <w:lang w:eastAsia="en-AU"/>
        </w:rPr>
        <w:t>example of application of reserve factors</w:t>
      </w:r>
      <w:r w:rsidRPr="009A4556">
        <w:rPr>
          <w:b/>
          <w:lang w:eastAsia="en-AU"/>
        </w:rPr>
        <w:t xml:space="preserve"> b</w:t>
      </w:r>
      <w:r w:rsidR="000C4CD4" w:rsidRPr="009A4556">
        <w:rPr>
          <w:b/>
          <w:lang w:eastAsia="en-AU"/>
        </w:rPr>
        <w:t>efore</w:t>
      </w:r>
      <w:r w:rsidR="000C4CD4">
        <w:rPr>
          <w:lang w:eastAsia="en-AU"/>
        </w:rPr>
        <w:t xml:space="preserve"> applying </w:t>
      </w:r>
      <w:r w:rsidR="00C2168E">
        <w:rPr>
          <w:lang w:eastAsia="en-AU"/>
        </w:rPr>
        <w:t>the proposed</w:t>
      </w:r>
      <w:r w:rsidR="000C4CD4">
        <w:rPr>
          <w:lang w:eastAsia="en-AU"/>
        </w:rPr>
        <w:t xml:space="preserve"> cap </w:t>
      </w:r>
      <w:r w:rsidR="00F026C2">
        <w:rPr>
          <w:lang w:eastAsia="en-AU"/>
        </w:rPr>
        <w:t xml:space="preserve">that </w:t>
      </w:r>
      <w:r w:rsidR="000C4CD4">
        <w:rPr>
          <w:lang w:eastAsia="en-AU"/>
        </w:rPr>
        <w:t>incentiv</w:t>
      </w:r>
      <w:r w:rsidR="00F026C2">
        <w:rPr>
          <w:lang w:eastAsia="en-AU"/>
        </w:rPr>
        <w:t>ises</w:t>
      </w:r>
      <w:r w:rsidR="000C4CD4">
        <w:rPr>
          <w:lang w:eastAsia="en-AU"/>
        </w:rPr>
        <w:t xml:space="preserve"> </w:t>
      </w:r>
      <w:r w:rsidR="00C2168E">
        <w:rPr>
          <w:lang w:eastAsia="en-AU"/>
        </w:rPr>
        <w:t xml:space="preserve">sources of capacity </w:t>
      </w:r>
      <w:r w:rsidR="00F026C2">
        <w:rPr>
          <w:lang w:eastAsia="en-AU"/>
        </w:rPr>
        <w:t xml:space="preserve">to </w:t>
      </w:r>
      <w:r w:rsidR="00956C3A">
        <w:rPr>
          <w:lang w:eastAsia="en-AU"/>
        </w:rPr>
        <w:t>plan timing of</w:t>
      </w:r>
      <w:r w:rsidR="00F026C2">
        <w:rPr>
          <w:lang w:eastAsia="en-AU"/>
        </w:rPr>
        <w:t xml:space="preserve"> </w:t>
      </w:r>
      <w:r w:rsidR="000C4CD4">
        <w:rPr>
          <w:lang w:eastAsia="en-AU"/>
        </w:rPr>
        <w:t>maintenance</w:t>
      </w:r>
      <w:r w:rsidR="00C2168E">
        <w:rPr>
          <w:lang w:eastAsia="en-AU"/>
        </w:rPr>
        <w:t xml:space="preserve"> through the System Controller</w:t>
      </w:r>
      <w:r w:rsidR="000C4CD4">
        <w:rPr>
          <w:lang w:eastAsia="en-AU"/>
        </w:rPr>
        <w:t xml:space="preserve"> </w:t>
      </w:r>
      <w:r w:rsidR="00956C3A">
        <w:rPr>
          <w:lang w:eastAsia="en-AU"/>
        </w:rPr>
        <w:t xml:space="preserve">for when reliability will be less impacted </w:t>
      </w:r>
      <w:r w:rsidR="000C4CD4">
        <w:rPr>
          <w:lang w:eastAsia="en-AU"/>
        </w:rPr>
        <w:t>(</w:t>
      </w:r>
      <w:r w:rsidR="007B525B">
        <w:rPr>
          <w:lang w:eastAsia="en-AU"/>
        </w:rPr>
        <w:t>which is discussed in</w:t>
      </w:r>
      <w:r w:rsidR="00F026C2">
        <w:rPr>
          <w:lang w:eastAsia="en-AU"/>
        </w:rPr>
        <w:t xml:space="preserve"> section</w:t>
      </w:r>
      <w:r>
        <w:rPr>
          <w:lang w:eastAsia="en-AU"/>
        </w:rPr>
        <w:t xml:space="preserve"> 6.2</w:t>
      </w:r>
      <w:r w:rsidR="000C4CD4">
        <w:rPr>
          <w:lang w:eastAsia="en-AU"/>
        </w:rPr>
        <w:t>)</w:t>
      </w:r>
      <w:r>
        <w:rPr>
          <w:lang w:eastAsia="en-AU"/>
        </w:rPr>
        <w:t xml:space="preserve">. </w:t>
      </w:r>
      <w:r w:rsidR="000C4CD4">
        <w:rPr>
          <w:lang w:eastAsia="en-AU"/>
        </w:rPr>
        <w:t xml:space="preserve"> </w:t>
      </w:r>
      <w:r w:rsidR="005776DA">
        <w:rPr>
          <w:lang w:eastAsia="en-AU"/>
        </w:rPr>
        <w:t xml:space="preserve">In this </w:t>
      </w:r>
      <w:r w:rsidR="00C2168E">
        <w:rPr>
          <w:lang w:eastAsia="en-AU"/>
        </w:rPr>
        <w:t>example, i</w:t>
      </w:r>
      <w:r w:rsidR="00642EE0">
        <w:rPr>
          <w:lang w:eastAsia="en-AU"/>
        </w:rPr>
        <w:t xml:space="preserve">f a plant </w:t>
      </w:r>
      <w:r w:rsidR="007B525B">
        <w:rPr>
          <w:lang w:eastAsia="en-AU"/>
        </w:rPr>
        <w:t xml:space="preserve">that is </w:t>
      </w:r>
      <w:r w:rsidR="00642EE0">
        <w:rPr>
          <w:lang w:eastAsia="en-AU"/>
        </w:rPr>
        <w:t xml:space="preserve">accredited for 40MW of capacity </w:t>
      </w:r>
      <w:r w:rsidR="007B525B">
        <w:rPr>
          <w:lang w:eastAsia="en-AU"/>
        </w:rPr>
        <w:t>is</w:t>
      </w:r>
      <w:r w:rsidR="00642EE0">
        <w:rPr>
          <w:lang w:eastAsia="en-AU"/>
        </w:rPr>
        <w:t xml:space="preserve"> unavailable, and the</w:t>
      </w:r>
      <w:r w:rsidR="000C4CD4">
        <w:rPr>
          <w:lang w:eastAsia="en-AU"/>
        </w:rPr>
        <w:t xml:space="preserve"> declared capacity price </w:t>
      </w:r>
      <w:r w:rsidR="007B525B">
        <w:rPr>
          <w:lang w:eastAsia="en-AU"/>
        </w:rPr>
        <w:t>is</w:t>
      </w:r>
      <w:r w:rsidR="00642EE0">
        <w:rPr>
          <w:lang w:eastAsia="en-AU"/>
        </w:rPr>
        <w:t xml:space="preserve"> </w:t>
      </w:r>
      <w:r w:rsidR="000C4CD4">
        <w:rPr>
          <w:lang w:eastAsia="en-AU"/>
        </w:rPr>
        <w:t>$10/MWh:</w:t>
      </w:r>
    </w:p>
    <w:p w14:paraId="7C2B1C4A" w14:textId="0F76C36B" w:rsidR="000C4CD4" w:rsidRDefault="000C4CD4" w:rsidP="00956C3A">
      <w:pPr>
        <w:pStyle w:val="Tablebulletlistlevel1"/>
        <w:spacing w:after="120"/>
        <w:rPr>
          <w:lang w:eastAsia="en-AU"/>
        </w:rPr>
      </w:pPr>
      <w:r>
        <w:rPr>
          <w:lang w:eastAsia="en-AU"/>
        </w:rPr>
        <w:t xml:space="preserve">at times when reserve is at a minimum (peak time): the </w:t>
      </w:r>
      <w:r w:rsidR="00642EE0">
        <w:rPr>
          <w:lang w:eastAsia="en-AU"/>
        </w:rPr>
        <w:t>reserve</w:t>
      </w:r>
      <w:r>
        <w:rPr>
          <w:lang w:eastAsia="en-AU"/>
        </w:rPr>
        <w:t xml:space="preserve"> factor would be 3 which would be applied to the capacity price giving rise to a $30/MW charge</w:t>
      </w:r>
      <w:r w:rsidR="00F026C2">
        <w:rPr>
          <w:lang w:eastAsia="en-AU"/>
        </w:rPr>
        <w:t xml:space="preserve"> resulting in a charge of $1200/hour  </w:t>
      </w:r>
    </w:p>
    <w:p w14:paraId="1CE93620" w14:textId="1E657BA1" w:rsidR="000C4CD4" w:rsidRDefault="000C4CD4" w:rsidP="00956C3A">
      <w:pPr>
        <w:pStyle w:val="Tablebulletlistlevel1"/>
        <w:spacing w:after="120"/>
        <w:rPr>
          <w:lang w:eastAsia="en-AU"/>
        </w:rPr>
      </w:pPr>
      <w:r>
        <w:rPr>
          <w:lang w:eastAsia="en-AU"/>
        </w:rPr>
        <w:t xml:space="preserve">at times when reserve is moderate: the </w:t>
      </w:r>
      <w:r w:rsidR="00F026C2">
        <w:rPr>
          <w:lang w:eastAsia="en-AU"/>
        </w:rPr>
        <w:t>reserve factor w</w:t>
      </w:r>
      <w:r>
        <w:rPr>
          <w:lang w:eastAsia="en-AU"/>
        </w:rPr>
        <w:t>ould be 1 and the charge would be 1 times $10/MWh so the charge for a 40MW shortfall would be $400/hour; and</w:t>
      </w:r>
    </w:p>
    <w:p w14:paraId="0C41AFB3" w14:textId="7E528489" w:rsidR="00642EE0" w:rsidRDefault="000C4CD4" w:rsidP="000C4CD4">
      <w:pPr>
        <w:pStyle w:val="Tablebulletlistlevel1"/>
        <w:rPr>
          <w:lang w:eastAsia="en-AU"/>
        </w:rPr>
      </w:pPr>
      <w:proofErr w:type="gramStart"/>
      <w:r>
        <w:rPr>
          <w:lang w:eastAsia="en-AU"/>
        </w:rPr>
        <w:t>at</w:t>
      </w:r>
      <w:proofErr w:type="gramEnd"/>
      <w:r>
        <w:rPr>
          <w:lang w:eastAsia="en-AU"/>
        </w:rPr>
        <w:t xml:space="preserve"> times when reserve is high (</w:t>
      </w:r>
      <w:r w:rsidR="00F026C2">
        <w:rPr>
          <w:lang w:eastAsia="en-AU"/>
        </w:rPr>
        <w:t xml:space="preserve">e.g. </w:t>
      </w:r>
      <w:r>
        <w:rPr>
          <w:lang w:eastAsia="en-AU"/>
        </w:rPr>
        <w:t xml:space="preserve">off peak and during dry season periods): the </w:t>
      </w:r>
      <w:r w:rsidR="00642EE0">
        <w:rPr>
          <w:lang w:eastAsia="en-AU"/>
        </w:rPr>
        <w:t xml:space="preserve">reserve </w:t>
      </w:r>
      <w:r>
        <w:rPr>
          <w:lang w:eastAsia="en-AU"/>
        </w:rPr>
        <w:t xml:space="preserve">factor would be zero, reflecting the low value of additional capacity under those conditions. </w:t>
      </w:r>
      <w:r w:rsidR="00F026C2">
        <w:rPr>
          <w:lang w:eastAsia="en-AU"/>
        </w:rPr>
        <w:t xml:space="preserve"> Note</w:t>
      </w:r>
      <w:r w:rsidR="00A036D1">
        <w:rPr>
          <w:lang w:eastAsia="en-AU"/>
        </w:rPr>
        <w:t>:</w:t>
      </w:r>
      <w:r w:rsidR="00F026C2">
        <w:rPr>
          <w:lang w:eastAsia="en-AU"/>
        </w:rPr>
        <w:t xml:space="preserve"> t</w:t>
      </w:r>
      <w:r>
        <w:rPr>
          <w:lang w:eastAsia="en-AU"/>
        </w:rPr>
        <w:t xml:space="preserve">hese periods may also be times of significant scheduled maintenance which </w:t>
      </w:r>
      <w:r w:rsidR="00A036D1">
        <w:rPr>
          <w:lang w:eastAsia="en-AU"/>
        </w:rPr>
        <w:t xml:space="preserve">will </w:t>
      </w:r>
      <w:r>
        <w:rPr>
          <w:lang w:eastAsia="en-AU"/>
        </w:rPr>
        <w:t>reduce the reserve</w:t>
      </w:r>
      <w:r w:rsidR="00F026C2">
        <w:rPr>
          <w:lang w:eastAsia="en-AU"/>
        </w:rPr>
        <w:t xml:space="preserve">. As a result </w:t>
      </w:r>
      <w:r w:rsidR="00A036D1">
        <w:rPr>
          <w:lang w:eastAsia="en-AU"/>
        </w:rPr>
        <w:t>an outage in these times may still result in only moderate levels of reserve</w:t>
      </w:r>
      <w:r>
        <w:rPr>
          <w:lang w:eastAsia="en-AU"/>
        </w:rPr>
        <w:t>.</w:t>
      </w:r>
    </w:p>
    <w:p w14:paraId="3C16324D" w14:textId="77777777" w:rsidR="00A036D1" w:rsidRPr="00587184" w:rsidRDefault="00A036D1" w:rsidP="009A4556">
      <w:pPr>
        <w:spacing w:after="120"/>
        <w:rPr>
          <w:lang w:eastAsia="en-AU"/>
        </w:rPr>
      </w:pPr>
    </w:p>
    <w:p w14:paraId="209983B0" w14:textId="39CFB158" w:rsidR="004E1495" w:rsidRPr="00587184" w:rsidRDefault="00A036D1" w:rsidP="00DC09AD">
      <w:pPr>
        <w:rPr>
          <w:lang w:eastAsia="en-AU"/>
        </w:rPr>
      </w:pPr>
      <w:r w:rsidRPr="00587184">
        <w:rPr>
          <w:lang w:eastAsia="en-AU"/>
        </w:rPr>
        <w:t>The next section describes the incentive for planning and managing the timing of reductions in capacity.</w:t>
      </w:r>
    </w:p>
    <w:p w14:paraId="3C5DB308" w14:textId="06741389" w:rsidR="00DC09AD" w:rsidRDefault="00DC09AD" w:rsidP="009E33D7">
      <w:pPr>
        <w:pStyle w:val="Heading2"/>
        <w:rPr>
          <w:lang w:eastAsia="en-AU"/>
        </w:rPr>
      </w:pPr>
      <w:bookmarkStart w:id="22" w:name="_Toc59188475"/>
      <w:r>
        <w:rPr>
          <w:lang w:eastAsia="en-AU"/>
        </w:rPr>
        <w:t>Capp</w:t>
      </w:r>
      <w:r w:rsidR="000A5EDE">
        <w:rPr>
          <w:lang w:eastAsia="en-AU"/>
        </w:rPr>
        <w:t>ing</w:t>
      </w:r>
      <w:r>
        <w:rPr>
          <w:lang w:eastAsia="en-AU"/>
        </w:rPr>
        <w:t xml:space="preserve"> </w:t>
      </w:r>
      <w:r w:rsidR="000326C1">
        <w:rPr>
          <w:lang w:eastAsia="en-AU"/>
        </w:rPr>
        <w:t xml:space="preserve">of reserve </w:t>
      </w:r>
      <w:r>
        <w:rPr>
          <w:lang w:eastAsia="en-AU"/>
        </w:rPr>
        <w:t>factors</w:t>
      </w:r>
      <w:bookmarkEnd w:id="22"/>
    </w:p>
    <w:p w14:paraId="71AA074E" w14:textId="6CBD9924" w:rsidR="00DC09AD" w:rsidRDefault="00DC09AD" w:rsidP="00DC09AD">
      <w:pPr>
        <w:rPr>
          <w:lang w:eastAsia="en-AU"/>
        </w:rPr>
      </w:pPr>
      <w:r>
        <w:rPr>
          <w:lang w:eastAsia="en-AU"/>
        </w:rPr>
        <w:t>The S</w:t>
      </w:r>
      <w:r w:rsidR="000326C1">
        <w:rPr>
          <w:lang w:eastAsia="en-AU"/>
        </w:rPr>
        <w:t xml:space="preserve">ystem </w:t>
      </w:r>
      <w:r>
        <w:rPr>
          <w:lang w:eastAsia="en-AU"/>
        </w:rPr>
        <w:t>C</w:t>
      </w:r>
      <w:r w:rsidR="000326C1">
        <w:rPr>
          <w:lang w:eastAsia="en-AU"/>
        </w:rPr>
        <w:t xml:space="preserve">ontrol </w:t>
      </w:r>
      <w:r>
        <w:rPr>
          <w:lang w:eastAsia="en-AU"/>
        </w:rPr>
        <w:t>T</w:t>
      </w:r>
      <w:r w:rsidR="000326C1">
        <w:rPr>
          <w:lang w:eastAsia="en-AU"/>
        </w:rPr>
        <w:t xml:space="preserve">echnical </w:t>
      </w:r>
      <w:r>
        <w:rPr>
          <w:lang w:eastAsia="en-AU"/>
        </w:rPr>
        <w:t>C</w:t>
      </w:r>
      <w:r w:rsidR="000326C1">
        <w:rPr>
          <w:lang w:eastAsia="en-AU"/>
        </w:rPr>
        <w:t>ode</w:t>
      </w:r>
      <w:r>
        <w:rPr>
          <w:lang w:eastAsia="en-AU"/>
        </w:rPr>
        <w:t xml:space="preserve"> </w:t>
      </w:r>
      <w:r w:rsidR="000A5EDE">
        <w:rPr>
          <w:lang w:eastAsia="en-AU"/>
        </w:rPr>
        <w:t xml:space="preserve">(SCTC) </w:t>
      </w:r>
      <w:r>
        <w:rPr>
          <w:lang w:eastAsia="en-AU"/>
        </w:rPr>
        <w:t>includes a number of requirements related to seeking approval and notice periods before undertaking maintenance that reduces the availability for dispatch.</w:t>
      </w:r>
      <w:r w:rsidR="00830439">
        <w:rPr>
          <w:lang w:eastAsia="en-AU"/>
        </w:rPr>
        <w:t xml:space="preserve"> </w:t>
      </w:r>
    </w:p>
    <w:p w14:paraId="3060E4B8" w14:textId="7578439E" w:rsidR="005776DA" w:rsidRDefault="00460113" w:rsidP="00DC09AD">
      <w:pPr>
        <w:rPr>
          <w:lang w:eastAsia="en-AU"/>
        </w:rPr>
      </w:pPr>
      <w:r>
        <w:rPr>
          <w:lang w:eastAsia="en-AU"/>
        </w:rPr>
        <w:t xml:space="preserve">The reserve factor described in the previous section is to be capped in a way that creates an incentive to forward plan the timing of reductions in capacity. </w:t>
      </w:r>
      <w:r w:rsidR="00DC09AD">
        <w:rPr>
          <w:lang w:eastAsia="en-AU"/>
        </w:rPr>
        <w:t xml:space="preserve">This incentive is to be delivered by capping the </w:t>
      </w:r>
      <w:r w:rsidR="008C4125">
        <w:rPr>
          <w:lang w:eastAsia="en-AU"/>
        </w:rPr>
        <w:t xml:space="preserve">reserve </w:t>
      </w:r>
      <w:r w:rsidR="00DC09AD">
        <w:rPr>
          <w:lang w:eastAsia="en-AU"/>
        </w:rPr>
        <w:t xml:space="preserve">factor to be applied to capacity </w:t>
      </w:r>
      <w:r w:rsidR="00E34FA0">
        <w:rPr>
          <w:lang w:eastAsia="en-AU"/>
        </w:rPr>
        <w:t>out-of-</w:t>
      </w:r>
      <w:r w:rsidR="000A5EDE">
        <w:rPr>
          <w:lang w:eastAsia="en-AU"/>
        </w:rPr>
        <w:t>balance payments</w:t>
      </w:r>
      <w:r w:rsidR="00DC09AD">
        <w:rPr>
          <w:lang w:eastAsia="en-AU"/>
        </w:rPr>
        <w:t xml:space="preserve"> accordi</w:t>
      </w:r>
      <w:r w:rsidR="000A5EDE">
        <w:rPr>
          <w:lang w:eastAsia="en-AU"/>
        </w:rPr>
        <w:t>ng to whether the reductions have</w:t>
      </w:r>
      <w:r w:rsidR="00DC09AD">
        <w:rPr>
          <w:lang w:eastAsia="en-AU"/>
        </w:rPr>
        <w:t xml:space="preserve"> been pre-approved by the System Controller in accordance with the SCTC.</w:t>
      </w:r>
      <w:r w:rsidR="00830439">
        <w:rPr>
          <w:lang w:eastAsia="en-AU"/>
        </w:rPr>
        <w:t xml:space="preserve"> </w:t>
      </w:r>
    </w:p>
    <w:p w14:paraId="1F3031E5" w14:textId="60C16045" w:rsidR="0070423D" w:rsidRDefault="00956C3A" w:rsidP="00DC09AD">
      <w:pPr>
        <w:rPr>
          <w:lang w:eastAsia="en-AU"/>
        </w:rPr>
      </w:pPr>
      <w:r>
        <w:rPr>
          <w:lang w:eastAsia="en-AU"/>
        </w:rPr>
        <w:t>Table 2</w:t>
      </w:r>
      <w:r w:rsidR="00DC09AD">
        <w:rPr>
          <w:lang w:eastAsia="en-AU"/>
        </w:rPr>
        <w:t xml:space="preserve"> lists the </w:t>
      </w:r>
      <w:r w:rsidR="000A5EDE">
        <w:rPr>
          <w:lang w:eastAsia="en-AU"/>
        </w:rPr>
        <w:t>r</w:t>
      </w:r>
      <w:r w:rsidR="00DC09AD">
        <w:rPr>
          <w:lang w:eastAsia="en-AU"/>
        </w:rPr>
        <w:t xml:space="preserve">eserve factors </w:t>
      </w:r>
      <w:r w:rsidR="005E11B5">
        <w:rPr>
          <w:lang w:eastAsia="en-AU"/>
        </w:rPr>
        <w:t xml:space="preserve">(introduced in the previous section) </w:t>
      </w:r>
      <w:r w:rsidR="00DC09AD">
        <w:rPr>
          <w:lang w:eastAsia="en-AU"/>
        </w:rPr>
        <w:t xml:space="preserve">and the capped factors to create an incentive for </w:t>
      </w:r>
      <w:r w:rsidR="005776DA">
        <w:rPr>
          <w:lang w:eastAsia="en-AU"/>
        </w:rPr>
        <w:t xml:space="preserve">capacity sources </w:t>
      </w:r>
      <w:r w:rsidR="00DC09AD">
        <w:rPr>
          <w:lang w:eastAsia="en-AU"/>
        </w:rPr>
        <w:t>to manage the timing of any reductions in available capacity to match system conditions.</w:t>
      </w:r>
      <w:r w:rsidR="00814DD1">
        <w:rPr>
          <w:lang w:eastAsia="en-AU"/>
        </w:rPr>
        <w:t xml:space="preserve"> </w:t>
      </w:r>
    </w:p>
    <w:p w14:paraId="22E72D87" w14:textId="23F5E68C" w:rsidR="00DC09AD" w:rsidRDefault="00814DD1" w:rsidP="00DC09AD">
      <w:pPr>
        <w:rPr>
          <w:lang w:eastAsia="en-AU"/>
        </w:rPr>
      </w:pPr>
      <w:r>
        <w:rPr>
          <w:lang w:eastAsia="en-AU"/>
        </w:rPr>
        <w:lastRenderedPageBreak/>
        <w:t>Unplanned reductions incur the full reserve factor</w:t>
      </w:r>
      <w:r w:rsidR="00460113">
        <w:rPr>
          <w:lang w:eastAsia="en-AU"/>
        </w:rPr>
        <w:t xml:space="preserve"> of between 0 and 3</w:t>
      </w:r>
      <w:r>
        <w:rPr>
          <w:lang w:eastAsia="en-AU"/>
        </w:rPr>
        <w:t xml:space="preserve">. Planned reductions </w:t>
      </w:r>
      <w:r w:rsidR="00460113">
        <w:rPr>
          <w:lang w:eastAsia="en-AU"/>
        </w:rPr>
        <w:t>result in a lower factor (minimum 0)</w:t>
      </w:r>
      <w:r w:rsidR="003D3079">
        <w:rPr>
          <w:lang w:eastAsia="en-AU"/>
        </w:rPr>
        <w:t xml:space="preserve"> depending o</w:t>
      </w:r>
      <w:r w:rsidR="003D3079" w:rsidRPr="00365A97">
        <w:rPr>
          <w:lang w:eastAsia="en-AU"/>
        </w:rPr>
        <w:t xml:space="preserve">n the </w:t>
      </w:r>
      <w:r w:rsidR="00365A97" w:rsidRPr="00365A97">
        <w:rPr>
          <w:lang w:eastAsia="en-AU"/>
        </w:rPr>
        <w:t>actual</w:t>
      </w:r>
      <w:r w:rsidR="003D3079" w:rsidRPr="00365A97">
        <w:rPr>
          <w:lang w:eastAsia="en-AU"/>
        </w:rPr>
        <w:t xml:space="preserve"> reserve.</w:t>
      </w:r>
      <w:r w:rsidR="00460113">
        <w:rPr>
          <w:lang w:eastAsia="en-AU"/>
        </w:rPr>
        <w:t xml:space="preserve"> </w:t>
      </w:r>
    </w:p>
    <w:p w14:paraId="19CA66FE" w14:textId="17178684" w:rsidR="00DC09AD" w:rsidRDefault="000A5EDE" w:rsidP="00347C6B">
      <w:pPr>
        <w:pStyle w:val="Caption"/>
        <w:keepNext/>
        <w:keepLines/>
        <w:rPr>
          <w:b/>
        </w:rPr>
      </w:pPr>
      <w:r w:rsidRPr="000A5EDE">
        <w:rPr>
          <w:b/>
        </w:rPr>
        <w:t xml:space="preserve">Table </w:t>
      </w:r>
      <w:r w:rsidR="00956C3A">
        <w:rPr>
          <w:b/>
        </w:rPr>
        <w:t>2</w:t>
      </w:r>
      <w:r w:rsidRPr="000A5EDE">
        <w:rPr>
          <w:b/>
        </w:rPr>
        <w:t xml:space="preserve"> Capped capacity charge scaling factors</w:t>
      </w:r>
    </w:p>
    <w:tbl>
      <w:tblPr>
        <w:tblStyle w:val="NTGtable1"/>
        <w:tblW w:w="0" w:type="auto"/>
        <w:tblLook w:val="04A0" w:firstRow="1" w:lastRow="0" w:firstColumn="1" w:lastColumn="0" w:noHBand="0" w:noVBand="1"/>
      </w:tblPr>
      <w:tblGrid>
        <w:gridCol w:w="4815"/>
        <w:gridCol w:w="2746"/>
        <w:gridCol w:w="2747"/>
      </w:tblGrid>
      <w:tr w:rsidR="00956C3A" w14:paraId="6D5A8517" w14:textId="753F76AE" w:rsidTr="002C0B0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815" w:type="dxa"/>
          </w:tcPr>
          <w:p w14:paraId="3D64881F" w14:textId="5B3AD445" w:rsidR="00956C3A" w:rsidRPr="00F73889" w:rsidRDefault="00956C3A" w:rsidP="00F25324">
            <w:pPr>
              <w:rPr>
                <w:rFonts w:cs="Arial"/>
              </w:rPr>
            </w:pPr>
            <w:r>
              <w:rPr>
                <w:rFonts w:cs="Arial"/>
              </w:rPr>
              <w:t>Scenario</w:t>
            </w:r>
          </w:p>
        </w:tc>
        <w:tc>
          <w:tcPr>
            <w:tcW w:w="2746" w:type="dxa"/>
          </w:tcPr>
          <w:p w14:paraId="54C6E560" w14:textId="00DC5715" w:rsidR="00956C3A" w:rsidRPr="00F73889" w:rsidRDefault="00956C3A" w:rsidP="00F25324">
            <w:pPr>
              <w:cnfStyle w:val="100000000000" w:firstRow="1" w:lastRow="0" w:firstColumn="0" w:lastColumn="0" w:oddVBand="0" w:evenVBand="0" w:oddHBand="0" w:evenHBand="0" w:firstRowFirstColumn="0" w:firstRowLastColumn="0" w:lastRowFirstColumn="0" w:lastRowLastColumn="0"/>
              <w:rPr>
                <w:rFonts w:cs="Arial"/>
              </w:rPr>
            </w:pPr>
            <w:r>
              <w:rPr>
                <w:rFonts w:cs="Arial"/>
              </w:rPr>
              <w:t>Reserve factor</w:t>
            </w:r>
          </w:p>
        </w:tc>
        <w:tc>
          <w:tcPr>
            <w:tcW w:w="2747" w:type="dxa"/>
          </w:tcPr>
          <w:p w14:paraId="1EB8DF22" w14:textId="4CCDB38E" w:rsidR="00956C3A" w:rsidRDefault="00956C3A" w:rsidP="00F25324">
            <w:pPr>
              <w:cnfStyle w:val="100000000000" w:firstRow="1" w:lastRow="0" w:firstColumn="0" w:lastColumn="0" w:oddVBand="0" w:evenVBand="0" w:oddHBand="0" w:evenHBand="0" w:firstRowFirstColumn="0" w:firstRowLastColumn="0" w:lastRowFirstColumn="0" w:lastRowLastColumn="0"/>
              <w:rPr>
                <w:rFonts w:cs="Arial"/>
              </w:rPr>
            </w:pPr>
            <w:r>
              <w:rPr>
                <w:rFonts w:cs="Arial"/>
              </w:rPr>
              <w:t>Capped Scaling Factor</w:t>
            </w:r>
          </w:p>
        </w:tc>
      </w:tr>
      <w:tr w:rsidR="004E6421" w14:paraId="2584D72E" w14:textId="3554E0D0" w:rsidTr="004E6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top"/>
          </w:tcPr>
          <w:p w14:paraId="44B0AECD" w14:textId="42C1EECF" w:rsidR="004E6421" w:rsidRPr="00D54F69" w:rsidRDefault="004E6421" w:rsidP="004E6421">
            <w:pPr>
              <w:spacing w:before="60" w:after="60"/>
              <w:rPr>
                <w:rFonts w:cs="Arial"/>
              </w:rPr>
            </w:pPr>
            <w:r>
              <w:rPr>
                <w:rFonts w:cs="Arial"/>
              </w:rPr>
              <w:t>Lower reserve and unplanned reduction</w:t>
            </w:r>
          </w:p>
        </w:tc>
        <w:tc>
          <w:tcPr>
            <w:tcW w:w="2746" w:type="dxa"/>
            <w:vAlign w:val="top"/>
          </w:tcPr>
          <w:p w14:paraId="492EDA98" w14:textId="184FC5D7" w:rsidR="004E6421" w:rsidRPr="00D54F69" w:rsidRDefault="004E6421" w:rsidP="004E6421">
            <w:pPr>
              <w:spacing w:before="60" w:after="60"/>
              <w:cnfStyle w:val="000000100000" w:firstRow="0" w:lastRow="0" w:firstColumn="0" w:lastColumn="0" w:oddVBand="0" w:evenVBand="0" w:oddHBand="1" w:evenHBand="0" w:firstRowFirstColumn="0" w:firstRowLastColumn="0" w:lastRowFirstColumn="0" w:lastRowLastColumn="0"/>
              <w:rPr>
                <w:rFonts w:cs="Arial"/>
              </w:rPr>
            </w:pPr>
            <w:r>
              <w:rPr>
                <w:rFonts w:cs="Arial"/>
              </w:rPr>
              <w:t>3</w:t>
            </w:r>
          </w:p>
        </w:tc>
        <w:tc>
          <w:tcPr>
            <w:tcW w:w="2747" w:type="dxa"/>
            <w:vAlign w:val="top"/>
          </w:tcPr>
          <w:p w14:paraId="14414DA7" w14:textId="0F4451F6" w:rsidR="004E6421" w:rsidRDefault="004E6421" w:rsidP="004E6421">
            <w:pPr>
              <w:spacing w:before="60" w:after="60"/>
              <w:cnfStyle w:val="000000100000" w:firstRow="0" w:lastRow="0" w:firstColumn="0" w:lastColumn="0" w:oddVBand="0" w:evenVBand="0" w:oddHBand="1" w:evenHBand="0" w:firstRowFirstColumn="0" w:firstRowLastColumn="0" w:lastRowFirstColumn="0" w:lastRowLastColumn="0"/>
              <w:rPr>
                <w:rFonts w:cs="Arial"/>
              </w:rPr>
            </w:pPr>
            <w:r>
              <w:rPr>
                <w:rFonts w:cs="Arial"/>
              </w:rPr>
              <w:t>3</w:t>
            </w:r>
          </w:p>
        </w:tc>
      </w:tr>
      <w:tr w:rsidR="004E6421" w14:paraId="356B4E0C" w14:textId="284CBB16" w:rsidTr="004E64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top"/>
          </w:tcPr>
          <w:p w14:paraId="743FD101" w14:textId="1C199963" w:rsidR="004E6421" w:rsidRPr="00D54F69" w:rsidRDefault="004E6421" w:rsidP="004E6421">
            <w:pPr>
              <w:spacing w:before="60" w:after="60"/>
              <w:rPr>
                <w:rFonts w:cs="Arial"/>
              </w:rPr>
            </w:pPr>
            <w:r>
              <w:rPr>
                <w:rFonts w:cs="Arial"/>
              </w:rPr>
              <w:t>Moderate reserve and unplanned reduction</w:t>
            </w:r>
          </w:p>
        </w:tc>
        <w:tc>
          <w:tcPr>
            <w:tcW w:w="2746" w:type="dxa"/>
            <w:vAlign w:val="top"/>
          </w:tcPr>
          <w:p w14:paraId="4F4216A3" w14:textId="5BC28DDF" w:rsidR="004E6421" w:rsidRPr="00D54F69" w:rsidRDefault="004E6421" w:rsidP="004E6421">
            <w:pPr>
              <w:spacing w:before="60" w:after="60"/>
              <w:cnfStyle w:val="000000010000" w:firstRow="0" w:lastRow="0" w:firstColumn="0" w:lastColumn="0" w:oddVBand="0" w:evenVBand="0" w:oddHBand="0" w:evenHBand="1" w:firstRowFirstColumn="0" w:firstRowLastColumn="0" w:lastRowFirstColumn="0" w:lastRowLastColumn="0"/>
              <w:rPr>
                <w:rFonts w:cs="Arial"/>
              </w:rPr>
            </w:pPr>
            <w:r>
              <w:rPr>
                <w:rFonts w:cs="Arial"/>
              </w:rPr>
              <w:t>1</w:t>
            </w:r>
          </w:p>
        </w:tc>
        <w:tc>
          <w:tcPr>
            <w:tcW w:w="2747" w:type="dxa"/>
            <w:vAlign w:val="top"/>
          </w:tcPr>
          <w:p w14:paraId="22B21668" w14:textId="4B090808" w:rsidR="004E6421" w:rsidRPr="003A7E73" w:rsidRDefault="004E6421" w:rsidP="004E6421">
            <w:pPr>
              <w:spacing w:before="60" w:after="60"/>
              <w:cnfStyle w:val="000000010000" w:firstRow="0" w:lastRow="0" w:firstColumn="0" w:lastColumn="0" w:oddVBand="0" w:evenVBand="0" w:oddHBand="0" w:evenHBand="1" w:firstRowFirstColumn="0" w:firstRowLastColumn="0" w:lastRowFirstColumn="0" w:lastRowLastColumn="0"/>
              <w:rPr>
                <w:rFonts w:cs="Arial"/>
              </w:rPr>
            </w:pPr>
            <w:r>
              <w:rPr>
                <w:rFonts w:cs="Arial"/>
              </w:rPr>
              <w:t>1</w:t>
            </w:r>
          </w:p>
        </w:tc>
      </w:tr>
      <w:tr w:rsidR="004E6421" w14:paraId="2F9A5642" w14:textId="77777777" w:rsidTr="004E6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top"/>
          </w:tcPr>
          <w:p w14:paraId="4E3AC919" w14:textId="5BBECE70" w:rsidR="004E6421" w:rsidRDefault="004E6421" w:rsidP="004E6421">
            <w:pPr>
              <w:spacing w:before="60" w:after="60"/>
              <w:rPr>
                <w:rFonts w:cs="Arial"/>
              </w:rPr>
            </w:pPr>
            <w:r>
              <w:rPr>
                <w:rFonts w:cs="Arial"/>
              </w:rPr>
              <w:t>Moderate-high reserve and unplanned reduction</w:t>
            </w:r>
          </w:p>
        </w:tc>
        <w:tc>
          <w:tcPr>
            <w:tcW w:w="2746" w:type="dxa"/>
            <w:vAlign w:val="top"/>
          </w:tcPr>
          <w:p w14:paraId="4041AAE2" w14:textId="733D0ADA" w:rsidR="004E6421" w:rsidRDefault="004E6421" w:rsidP="004E6421">
            <w:pPr>
              <w:spacing w:before="60" w:after="60"/>
              <w:cnfStyle w:val="000000100000" w:firstRow="0" w:lastRow="0" w:firstColumn="0" w:lastColumn="0" w:oddVBand="0" w:evenVBand="0" w:oddHBand="1" w:evenHBand="0" w:firstRowFirstColumn="0" w:firstRowLastColumn="0" w:lastRowFirstColumn="0" w:lastRowLastColumn="0"/>
              <w:rPr>
                <w:rFonts w:cs="Arial"/>
              </w:rPr>
            </w:pPr>
            <w:r>
              <w:rPr>
                <w:rFonts w:cs="Arial"/>
              </w:rPr>
              <w:t>0.5</w:t>
            </w:r>
          </w:p>
        </w:tc>
        <w:tc>
          <w:tcPr>
            <w:tcW w:w="2747" w:type="dxa"/>
            <w:vAlign w:val="top"/>
          </w:tcPr>
          <w:p w14:paraId="32458209" w14:textId="3486078E" w:rsidR="004E6421" w:rsidRDefault="004E6421" w:rsidP="004E6421">
            <w:pPr>
              <w:spacing w:before="60" w:after="60"/>
              <w:cnfStyle w:val="000000100000" w:firstRow="0" w:lastRow="0" w:firstColumn="0" w:lastColumn="0" w:oddVBand="0" w:evenVBand="0" w:oddHBand="1" w:evenHBand="0" w:firstRowFirstColumn="0" w:firstRowLastColumn="0" w:lastRowFirstColumn="0" w:lastRowLastColumn="0"/>
              <w:rPr>
                <w:rFonts w:cs="Arial"/>
              </w:rPr>
            </w:pPr>
            <w:r>
              <w:rPr>
                <w:rFonts w:cs="Arial"/>
              </w:rPr>
              <w:t>0.5</w:t>
            </w:r>
          </w:p>
        </w:tc>
      </w:tr>
      <w:tr w:rsidR="004E6421" w14:paraId="4D881D48" w14:textId="25125E56" w:rsidTr="004E64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top"/>
          </w:tcPr>
          <w:p w14:paraId="709DEC3C" w14:textId="34FB61F9" w:rsidR="004E6421" w:rsidRDefault="004E6421" w:rsidP="004E6421">
            <w:pPr>
              <w:spacing w:before="60" w:after="60"/>
              <w:rPr>
                <w:rFonts w:cs="Arial"/>
              </w:rPr>
            </w:pPr>
            <w:r>
              <w:rPr>
                <w:rFonts w:cs="Arial"/>
              </w:rPr>
              <w:t>High reserve and unplanned reduction</w:t>
            </w:r>
          </w:p>
        </w:tc>
        <w:tc>
          <w:tcPr>
            <w:tcW w:w="2746" w:type="dxa"/>
            <w:vAlign w:val="top"/>
          </w:tcPr>
          <w:p w14:paraId="757CBDBE" w14:textId="27CFEFCD" w:rsidR="004E6421" w:rsidDel="00E70F6A" w:rsidRDefault="004E6421" w:rsidP="004E6421">
            <w:pPr>
              <w:spacing w:before="60" w:after="60"/>
              <w:cnfStyle w:val="000000010000" w:firstRow="0" w:lastRow="0" w:firstColumn="0" w:lastColumn="0" w:oddVBand="0" w:evenVBand="0" w:oddHBand="0" w:evenHBand="1" w:firstRowFirstColumn="0" w:firstRowLastColumn="0" w:lastRowFirstColumn="0" w:lastRowLastColumn="0"/>
              <w:rPr>
                <w:rFonts w:cs="Arial"/>
              </w:rPr>
            </w:pPr>
            <w:r>
              <w:rPr>
                <w:rFonts w:cs="Arial"/>
              </w:rPr>
              <w:t>0</w:t>
            </w:r>
          </w:p>
        </w:tc>
        <w:tc>
          <w:tcPr>
            <w:tcW w:w="2747" w:type="dxa"/>
            <w:vAlign w:val="top"/>
          </w:tcPr>
          <w:p w14:paraId="4CB9D8D1" w14:textId="14DC949A" w:rsidR="004E6421" w:rsidRDefault="004E6421" w:rsidP="004E6421">
            <w:pPr>
              <w:spacing w:before="60" w:after="60"/>
              <w:cnfStyle w:val="000000010000" w:firstRow="0" w:lastRow="0" w:firstColumn="0" w:lastColumn="0" w:oddVBand="0" w:evenVBand="0" w:oddHBand="0" w:evenHBand="1" w:firstRowFirstColumn="0" w:firstRowLastColumn="0" w:lastRowFirstColumn="0" w:lastRowLastColumn="0"/>
              <w:rPr>
                <w:rFonts w:cs="Arial"/>
              </w:rPr>
            </w:pPr>
            <w:r>
              <w:rPr>
                <w:rFonts w:cs="Arial"/>
              </w:rPr>
              <w:t>0</w:t>
            </w:r>
          </w:p>
        </w:tc>
      </w:tr>
      <w:tr w:rsidR="00956C3A" w14:paraId="36FAF33E" w14:textId="10BFA006" w:rsidTr="004E6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top"/>
          </w:tcPr>
          <w:p w14:paraId="79D82559" w14:textId="0FEFBB4D" w:rsidR="00956C3A" w:rsidRDefault="00956C3A" w:rsidP="00956C3A">
            <w:pPr>
              <w:spacing w:before="60" w:after="60"/>
              <w:rPr>
                <w:rFonts w:cs="Arial"/>
              </w:rPr>
            </w:pPr>
            <w:r>
              <w:rPr>
                <w:rFonts w:cs="Arial"/>
              </w:rPr>
              <w:t xml:space="preserve">Approved planning reduction with </w:t>
            </w:r>
            <w:r w:rsidRPr="002C0B0F">
              <w:rPr>
                <w:rFonts w:cs="Arial"/>
                <w:b/>
              </w:rPr>
              <w:t>notice period as per SCTC</w:t>
            </w:r>
            <w:r>
              <w:rPr>
                <w:rFonts w:cs="Arial"/>
              </w:rPr>
              <w:t xml:space="preserve"> (all reserve levels)</w:t>
            </w:r>
          </w:p>
        </w:tc>
        <w:tc>
          <w:tcPr>
            <w:tcW w:w="2746" w:type="dxa"/>
            <w:vAlign w:val="top"/>
          </w:tcPr>
          <w:p w14:paraId="741DD17F" w14:textId="2B86163C" w:rsidR="00956C3A" w:rsidDel="00E70F6A" w:rsidRDefault="00956C3A" w:rsidP="004E6421">
            <w:pPr>
              <w:spacing w:before="60" w:after="60"/>
              <w:cnfStyle w:val="000000100000" w:firstRow="0" w:lastRow="0" w:firstColumn="0" w:lastColumn="0" w:oddVBand="0" w:evenVBand="0" w:oddHBand="1" w:evenHBand="0" w:firstRowFirstColumn="0" w:firstRowLastColumn="0" w:lastRowFirstColumn="0" w:lastRowLastColumn="0"/>
              <w:rPr>
                <w:rFonts w:cs="Arial"/>
              </w:rPr>
            </w:pPr>
            <w:r>
              <w:rPr>
                <w:rFonts w:cs="Arial"/>
              </w:rPr>
              <w:t>0 to 3 according to reserve</w:t>
            </w:r>
          </w:p>
        </w:tc>
        <w:tc>
          <w:tcPr>
            <w:tcW w:w="2747" w:type="dxa"/>
          </w:tcPr>
          <w:p w14:paraId="226AAE58" w14:textId="2EF46696" w:rsidR="00956C3A" w:rsidRDefault="004E6421" w:rsidP="004E6421">
            <w:pPr>
              <w:spacing w:before="60" w:after="60"/>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r>
      <w:tr w:rsidR="004E6421" w14:paraId="199FD56D" w14:textId="77777777" w:rsidTr="004E64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top"/>
          </w:tcPr>
          <w:p w14:paraId="12E2CA36" w14:textId="5804D307" w:rsidR="004E6421" w:rsidRDefault="004E6421" w:rsidP="00956C3A">
            <w:pPr>
              <w:spacing w:before="60" w:after="60"/>
              <w:rPr>
                <w:rFonts w:cs="Arial"/>
              </w:rPr>
            </w:pPr>
            <w:r>
              <w:rPr>
                <w:rFonts w:cs="Arial"/>
              </w:rPr>
              <w:t xml:space="preserve">Approved planning reduction with </w:t>
            </w:r>
            <w:r w:rsidRPr="009A4556">
              <w:rPr>
                <w:rFonts w:cs="Arial"/>
                <w:b/>
              </w:rPr>
              <w:t>less than SCTC notice period</w:t>
            </w:r>
            <w:r>
              <w:rPr>
                <w:rFonts w:cs="Arial"/>
              </w:rPr>
              <w:t xml:space="preserve"> (but nevertheless approved)</w:t>
            </w:r>
          </w:p>
        </w:tc>
        <w:tc>
          <w:tcPr>
            <w:tcW w:w="2746" w:type="dxa"/>
            <w:vAlign w:val="top"/>
          </w:tcPr>
          <w:p w14:paraId="21743377" w14:textId="598E8D73" w:rsidR="004E6421" w:rsidRDefault="004E6421" w:rsidP="004E6421">
            <w:pPr>
              <w:spacing w:before="60" w:after="60"/>
              <w:cnfStyle w:val="000000010000" w:firstRow="0" w:lastRow="0" w:firstColumn="0" w:lastColumn="0" w:oddVBand="0" w:evenVBand="0" w:oddHBand="0" w:evenHBand="1" w:firstRowFirstColumn="0" w:firstRowLastColumn="0" w:lastRowFirstColumn="0" w:lastRowLastColumn="0"/>
              <w:rPr>
                <w:rFonts w:cs="Arial"/>
              </w:rPr>
            </w:pPr>
            <w:r>
              <w:rPr>
                <w:rFonts w:cs="Arial"/>
              </w:rPr>
              <w:t>0 to 3 according to reserve</w:t>
            </w:r>
          </w:p>
        </w:tc>
        <w:tc>
          <w:tcPr>
            <w:tcW w:w="2747" w:type="dxa"/>
          </w:tcPr>
          <w:p w14:paraId="01E71867" w14:textId="397165BD" w:rsidR="004E6421" w:rsidRDefault="004E6421" w:rsidP="004E6421">
            <w:pPr>
              <w:spacing w:before="60" w:after="60"/>
              <w:cnfStyle w:val="000000010000" w:firstRow="0" w:lastRow="0" w:firstColumn="0" w:lastColumn="0" w:oddVBand="0" w:evenVBand="0" w:oddHBand="0" w:evenHBand="1" w:firstRowFirstColumn="0" w:firstRowLastColumn="0" w:lastRowFirstColumn="0" w:lastRowLastColumn="0"/>
              <w:rPr>
                <w:rFonts w:cs="Arial"/>
              </w:rPr>
            </w:pPr>
            <w:r>
              <w:rPr>
                <w:rFonts w:cs="Arial"/>
              </w:rPr>
              <w:t>Reserve factor minus 1 (minimum 0)</w:t>
            </w:r>
          </w:p>
        </w:tc>
      </w:tr>
    </w:tbl>
    <w:p w14:paraId="5F5578D6" w14:textId="77777777" w:rsidR="00DC09AD" w:rsidRDefault="00DC09AD" w:rsidP="00DA4B6C">
      <w:pPr>
        <w:pStyle w:val="Heading2"/>
        <w:keepNext/>
        <w:rPr>
          <w:lang w:eastAsia="en-AU"/>
        </w:rPr>
      </w:pPr>
      <w:bookmarkStart w:id="23" w:name="_Toc59188476"/>
      <w:r>
        <w:rPr>
          <w:lang w:eastAsia="en-AU"/>
        </w:rPr>
        <w:t>Paying for capacity in excess of accredited capacity</w:t>
      </w:r>
      <w:bookmarkEnd w:id="23"/>
    </w:p>
    <w:p w14:paraId="4BDAD7B4" w14:textId="2C2526E0" w:rsidR="005C768A" w:rsidRDefault="00DC09AD" w:rsidP="00DA4B6C">
      <w:pPr>
        <w:keepNext/>
        <w:rPr>
          <w:lang w:eastAsia="en-AU"/>
        </w:rPr>
      </w:pPr>
      <w:r>
        <w:rPr>
          <w:lang w:eastAsia="en-AU"/>
        </w:rPr>
        <w:t xml:space="preserve">When one </w:t>
      </w:r>
      <w:r w:rsidR="005776DA">
        <w:rPr>
          <w:lang w:eastAsia="en-AU"/>
        </w:rPr>
        <w:t xml:space="preserve">capacity source </w:t>
      </w:r>
      <w:r>
        <w:rPr>
          <w:lang w:eastAsia="en-AU"/>
        </w:rPr>
        <w:t xml:space="preserve">is </w:t>
      </w:r>
      <w:r w:rsidR="00F02741">
        <w:rPr>
          <w:lang w:eastAsia="en-AU"/>
        </w:rPr>
        <w:t xml:space="preserve">available for less than </w:t>
      </w:r>
      <w:r w:rsidR="0070423D">
        <w:rPr>
          <w:lang w:eastAsia="en-AU"/>
        </w:rPr>
        <w:t xml:space="preserve">its </w:t>
      </w:r>
      <w:r>
        <w:rPr>
          <w:lang w:eastAsia="en-AU"/>
        </w:rPr>
        <w:t>accredited capacity it</w:t>
      </w:r>
      <w:r w:rsidR="007F7604">
        <w:rPr>
          <w:lang w:eastAsia="en-AU"/>
        </w:rPr>
        <w:t xml:space="preserve"> will</w:t>
      </w:r>
      <w:r>
        <w:rPr>
          <w:lang w:eastAsia="en-AU"/>
        </w:rPr>
        <w:t xml:space="preserve"> often </w:t>
      </w:r>
      <w:r w:rsidR="007F7604">
        <w:rPr>
          <w:lang w:eastAsia="en-AU"/>
        </w:rPr>
        <w:t xml:space="preserve">be </w:t>
      </w:r>
      <w:r>
        <w:rPr>
          <w:lang w:eastAsia="en-AU"/>
        </w:rPr>
        <w:t xml:space="preserve">the case </w:t>
      </w:r>
      <w:r w:rsidR="007F7604">
        <w:rPr>
          <w:lang w:eastAsia="en-AU"/>
        </w:rPr>
        <w:t xml:space="preserve">that </w:t>
      </w:r>
      <w:r w:rsidR="00BB7142">
        <w:rPr>
          <w:lang w:eastAsia="en-AU"/>
        </w:rPr>
        <w:t xml:space="preserve">other </w:t>
      </w:r>
      <w:r w:rsidR="005776DA">
        <w:rPr>
          <w:lang w:eastAsia="en-AU"/>
        </w:rPr>
        <w:t xml:space="preserve">capacity sources </w:t>
      </w:r>
      <w:r>
        <w:rPr>
          <w:lang w:eastAsia="en-AU"/>
        </w:rPr>
        <w:t>will have capacity that exceeds their accredited capacity</w:t>
      </w:r>
      <w:r w:rsidR="007F7604">
        <w:rPr>
          <w:lang w:eastAsia="en-AU"/>
        </w:rPr>
        <w:t>,</w:t>
      </w:r>
      <w:r>
        <w:rPr>
          <w:lang w:eastAsia="en-AU"/>
        </w:rPr>
        <w:t xml:space="preserve"> therefore enhancing system reserve</w:t>
      </w:r>
      <w:r w:rsidR="00374B50">
        <w:rPr>
          <w:lang w:eastAsia="en-AU"/>
        </w:rPr>
        <w:t>. T</w:t>
      </w:r>
      <w:r>
        <w:rPr>
          <w:lang w:eastAsia="en-AU"/>
        </w:rPr>
        <w:t xml:space="preserve">his </w:t>
      </w:r>
      <w:r w:rsidR="00374B50">
        <w:rPr>
          <w:lang w:eastAsia="en-AU"/>
        </w:rPr>
        <w:t>may</w:t>
      </w:r>
      <w:r>
        <w:rPr>
          <w:lang w:eastAsia="en-AU"/>
        </w:rPr>
        <w:t xml:space="preserve"> be </w:t>
      </w:r>
      <w:r w:rsidR="00374B50">
        <w:rPr>
          <w:lang w:eastAsia="en-AU"/>
        </w:rPr>
        <w:t>particularly relevant to</w:t>
      </w:r>
      <w:r>
        <w:rPr>
          <w:lang w:eastAsia="en-AU"/>
        </w:rPr>
        <w:t xml:space="preserve"> </w:t>
      </w:r>
      <w:r w:rsidR="005776DA">
        <w:rPr>
          <w:lang w:eastAsia="en-AU"/>
        </w:rPr>
        <w:t>intermittent</w:t>
      </w:r>
      <w:r w:rsidR="0070423D">
        <w:rPr>
          <w:lang w:eastAsia="en-AU"/>
        </w:rPr>
        <w:t xml:space="preserve"> </w:t>
      </w:r>
      <w:r>
        <w:rPr>
          <w:lang w:eastAsia="en-AU"/>
        </w:rPr>
        <w:t>plant which are likely to have relatively low accredited capacity relative to their peak</w:t>
      </w:r>
      <w:r w:rsidR="008F29F6">
        <w:rPr>
          <w:lang w:eastAsia="en-AU"/>
        </w:rPr>
        <w:t xml:space="preserve"> generation</w:t>
      </w:r>
      <w:r>
        <w:rPr>
          <w:lang w:eastAsia="en-AU"/>
        </w:rPr>
        <w:t xml:space="preserve"> capability.</w:t>
      </w:r>
      <w:r w:rsidR="00830439">
        <w:rPr>
          <w:lang w:eastAsia="en-AU"/>
        </w:rPr>
        <w:t xml:space="preserve"> </w:t>
      </w:r>
    </w:p>
    <w:p w14:paraId="6D0991AA" w14:textId="6DAB53A8" w:rsidR="00DC09AD" w:rsidRDefault="005C768A" w:rsidP="00DC09AD">
      <w:pPr>
        <w:rPr>
          <w:lang w:eastAsia="en-AU"/>
        </w:rPr>
      </w:pPr>
      <w:r>
        <w:rPr>
          <w:lang w:eastAsia="en-AU"/>
        </w:rPr>
        <w:t>It is proposed that a</w:t>
      </w:r>
      <w:r w:rsidR="00DC09AD">
        <w:rPr>
          <w:lang w:eastAsia="en-AU"/>
        </w:rPr>
        <w:t xml:space="preserve"> payment will be made </w:t>
      </w:r>
      <w:r w:rsidR="007F7604">
        <w:rPr>
          <w:lang w:eastAsia="en-AU"/>
        </w:rPr>
        <w:t>to</w:t>
      </w:r>
      <w:r w:rsidR="00DC09AD">
        <w:rPr>
          <w:lang w:eastAsia="en-AU"/>
        </w:rPr>
        <w:t xml:space="preserve"> </w:t>
      </w:r>
      <w:r w:rsidR="005776DA">
        <w:rPr>
          <w:lang w:eastAsia="en-AU"/>
        </w:rPr>
        <w:t xml:space="preserve">capacity sources </w:t>
      </w:r>
      <w:r w:rsidR="00DC09AD">
        <w:rPr>
          <w:lang w:eastAsia="en-AU"/>
        </w:rPr>
        <w:t xml:space="preserve">that provide capacity in excess of their accredited capacity from (and limited by) funds received from </w:t>
      </w:r>
      <w:r w:rsidR="005776DA">
        <w:rPr>
          <w:lang w:eastAsia="en-AU"/>
        </w:rPr>
        <w:t xml:space="preserve">capacity sources </w:t>
      </w:r>
      <w:r w:rsidR="00DC09AD">
        <w:rPr>
          <w:lang w:eastAsia="en-AU"/>
        </w:rPr>
        <w:t>with availability below their accredited capacity.</w:t>
      </w:r>
      <w:r w:rsidR="00830439">
        <w:rPr>
          <w:lang w:eastAsia="en-AU"/>
        </w:rPr>
        <w:t xml:space="preserve"> </w:t>
      </w:r>
      <w:r w:rsidR="00DC09AD">
        <w:rPr>
          <w:lang w:eastAsia="en-AU"/>
        </w:rPr>
        <w:t xml:space="preserve">This payment will be calculated by </w:t>
      </w:r>
      <w:r w:rsidR="008C3023">
        <w:rPr>
          <w:lang w:eastAsia="en-AU"/>
        </w:rPr>
        <w:t>apportioning</w:t>
      </w:r>
      <w:r w:rsidR="00DC09AD">
        <w:rPr>
          <w:lang w:eastAsia="en-AU"/>
        </w:rPr>
        <w:t xml:space="preserve"> the total payment received from units below accredited capacity in proportion to the amount each </w:t>
      </w:r>
      <w:r w:rsidR="00A84DC7">
        <w:rPr>
          <w:lang w:eastAsia="en-AU"/>
        </w:rPr>
        <w:t>capacity source</w:t>
      </w:r>
      <w:r w:rsidR="00DC09AD">
        <w:rPr>
          <w:lang w:eastAsia="en-AU"/>
        </w:rPr>
        <w:t xml:space="preserve"> is above its accredited capacity in each half hour.</w:t>
      </w:r>
      <w:r w:rsidR="00830439">
        <w:rPr>
          <w:lang w:eastAsia="en-AU"/>
        </w:rPr>
        <w:t xml:space="preserve"> </w:t>
      </w:r>
    </w:p>
    <w:p w14:paraId="6B43B2D9" w14:textId="1511B16E" w:rsidR="00215936" w:rsidRDefault="00DC09AD" w:rsidP="00DC09AD">
      <w:pPr>
        <w:rPr>
          <w:lang w:eastAsia="en-AU"/>
        </w:rPr>
      </w:pPr>
      <w:r>
        <w:rPr>
          <w:lang w:eastAsia="en-AU"/>
        </w:rPr>
        <w:t xml:space="preserve">This approach will recognise that although intermittent plant may not </w:t>
      </w:r>
      <w:r w:rsidR="008C3023">
        <w:rPr>
          <w:lang w:eastAsia="en-AU"/>
        </w:rPr>
        <w:t>have</w:t>
      </w:r>
      <w:r>
        <w:rPr>
          <w:lang w:eastAsia="en-AU"/>
        </w:rPr>
        <w:t xml:space="preserve"> a high accreditation for longer term planning of system capacity</w:t>
      </w:r>
      <w:r w:rsidR="008C3023">
        <w:rPr>
          <w:lang w:eastAsia="en-AU"/>
        </w:rPr>
        <w:t>, this plant</w:t>
      </w:r>
      <w:r>
        <w:rPr>
          <w:lang w:eastAsia="en-AU"/>
        </w:rPr>
        <w:t xml:space="preserve"> </w:t>
      </w:r>
      <w:r w:rsidR="008C3023">
        <w:rPr>
          <w:lang w:eastAsia="en-AU"/>
        </w:rPr>
        <w:t>can</w:t>
      </w:r>
      <w:r>
        <w:rPr>
          <w:lang w:eastAsia="en-AU"/>
        </w:rPr>
        <w:t xml:space="preserve"> at times provide </w:t>
      </w:r>
      <w:r w:rsidR="00215936">
        <w:rPr>
          <w:lang w:eastAsia="en-AU"/>
        </w:rPr>
        <w:t xml:space="preserve">valuable </w:t>
      </w:r>
      <w:r>
        <w:rPr>
          <w:lang w:eastAsia="en-AU"/>
        </w:rPr>
        <w:t>short term, albeit intermittent, support to reliability</w:t>
      </w:r>
      <w:r w:rsidR="0070423D">
        <w:rPr>
          <w:lang w:eastAsia="en-AU"/>
        </w:rPr>
        <w:t>. This</w:t>
      </w:r>
      <w:r>
        <w:rPr>
          <w:lang w:eastAsia="en-AU"/>
        </w:rPr>
        <w:t xml:space="preserve"> contribution should be recognised as and when it occurs</w:t>
      </w:r>
      <w:r w:rsidR="00CC2BD8">
        <w:rPr>
          <w:lang w:eastAsia="en-AU"/>
        </w:rPr>
        <w:t xml:space="preserve"> and when it adds to reliability</w:t>
      </w:r>
      <w:r>
        <w:rPr>
          <w:lang w:eastAsia="en-AU"/>
        </w:rPr>
        <w:t>.</w:t>
      </w:r>
      <w:r w:rsidR="00830439">
        <w:rPr>
          <w:lang w:eastAsia="en-AU"/>
        </w:rPr>
        <w:t xml:space="preserve"> </w:t>
      </w:r>
      <w:r w:rsidR="008C3023">
        <w:rPr>
          <w:lang w:eastAsia="en-AU"/>
        </w:rPr>
        <w:t>It should be n</w:t>
      </w:r>
      <w:r>
        <w:rPr>
          <w:lang w:eastAsia="en-AU"/>
        </w:rPr>
        <w:t>ote</w:t>
      </w:r>
      <w:r w:rsidR="008C3023">
        <w:rPr>
          <w:lang w:eastAsia="en-AU"/>
        </w:rPr>
        <w:t>d,</w:t>
      </w:r>
      <w:r>
        <w:rPr>
          <w:lang w:eastAsia="en-AU"/>
        </w:rPr>
        <w:t xml:space="preserve"> however</w:t>
      </w:r>
      <w:r w:rsidR="008C3023">
        <w:rPr>
          <w:lang w:eastAsia="en-AU"/>
        </w:rPr>
        <w:t>,</w:t>
      </w:r>
      <w:r>
        <w:rPr>
          <w:lang w:eastAsia="en-AU"/>
        </w:rPr>
        <w:t xml:space="preserve"> that as the amount of </w:t>
      </w:r>
      <w:r w:rsidR="00984A1D">
        <w:rPr>
          <w:lang w:eastAsia="en-AU"/>
        </w:rPr>
        <w:t>intermittent</w:t>
      </w:r>
      <w:r>
        <w:rPr>
          <w:lang w:eastAsia="en-AU"/>
        </w:rPr>
        <w:t xml:space="preserve"> </w:t>
      </w:r>
      <w:r w:rsidR="00984A1D">
        <w:rPr>
          <w:lang w:eastAsia="en-AU"/>
        </w:rPr>
        <w:t xml:space="preserve">(or other) </w:t>
      </w:r>
      <w:r w:rsidR="008C3023">
        <w:rPr>
          <w:lang w:eastAsia="en-AU"/>
        </w:rPr>
        <w:t xml:space="preserve">generation in the DKIS </w:t>
      </w:r>
      <w:r>
        <w:rPr>
          <w:lang w:eastAsia="en-AU"/>
        </w:rPr>
        <w:t>increases</w:t>
      </w:r>
      <w:r w:rsidR="008C3023">
        <w:rPr>
          <w:lang w:eastAsia="en-AU"/>
        </w:rPr>
        <w:t>,</w:t>
      </w:r>
      <w:r>
        <w:rPr>
          <w:lang w:eastAsia="en-AU"/>
        </w:rPr>
        <w:t xml:space="preserve"> the likely </w:t>
      </w:r>
      <w:r w:rsidR="00E34FA0">
        <w:rPr>
          <w:lang w:eastAsia="en-AU"/>
        </w:rPr>
        <w:t>capacity out-of-</w:t>
      </w:r>
      <w:r w:rsidR="008C3023">
        <w:rPr>
          <w:lang w:eastAsia="en-AU"/>
        </w:rPr>
        <w:t xml:space="preserve">balance </w:t>
      </w:r>
      <w:r w:rsidR="00984A1D">
        <w:rPr>
          <w:lang w:eastAsia="en-AU"/>
        </w:rPr>
        <w:t>charge</w:t>
      </w:r>
      <w:r w:rsidR="0070423D">
        <w:rPr>
          <w:lang w:eastAsia="en-AU"/>
        </w:rPr>
        <w:t xml:space="preserve"> </w:t>
      </w:r>
      <w:r>
        <w:rPr>
          <w:lang w:eastAsia="en-AU"/>
        </w:rPr>
        <w:t xml:space="preserve">to </w:t>
      </w:r>
      <w:r w:rsidR="008C3023">
        <w:rPr>
          <w:lang w:eastAsia="en-AU"/>
        </w:rPr>
        <w:t xml:space="preserve">off-line </w:t>
      </w:r>
      <w:r w:rsidR="005776DA">
        <w:rPr>
          <w:lang w:eastAsia="en-AU"/>
        </w:rPr>
        <w:t xml:space="preserve">controllable </w:t>
      </w:r>
      <w:r w:rsidR="00984A1D">
        <w:rPr>
          <w:lang w:eastAsia="en-AU"/>
        </w:rPr>
        <w:t xml:space="preserve">(or other) </w:t>
      </w:r>
      <w:r>
        <w:rPr>
          <w:lang w:eastAsia="en-AU"/>
        </w:rPr>
        <w:t xml:space="preserve">generators will </w:t>
      </w:r>
      <w:r w:rsidR="0070423D">
        <w:rPr>
          <w:lang w:eastAsia="en-AU"/>
        </w:rPr>
        <w:t>decrease</w:t>
      </w:r>
      <w:r w:rsidR="00BB7142">
        <w:rPr>
          <w:lang w:eastAsia="en-AU"/>
        </w:rPr>
        <w:t>. This is because</w:t>
      </w:r>
      <w:r>
        <w:rPr>
          <w:lang w:eastAsia="en-AU"/>
        </w:rPr>
        <w:t xml:space="preserve"> overall reserve levels will often be quite high </w:t>
      </w:r>
      <w:r w:rsidR="0070423D">
        <w:rPr>
          <w:lang w:eastAsia="en-AU"/>
        </w:rPr>
        <w:t>which will</w:t>
      </w:r>
      <w:r>
        <w:rPr>
          <w:lang w:eastAsia="en-AU"/>
        </w:rPr>
        <w:t xml:space="preserve"> </w:t>
      </w:r>
      <w:r w:rsidR="008C3023">
        <w:rPr>
          <w:lang w:eastAsia="en-AU"/>
        </w:rPr>
        <w:t>result in lower charges</w:t>
      </w:r>
      <w:r w:rsidR="0070423D">
        <w:rPr>
          <w:lang w:eastAsia="en-AU"/>
        </w:rPr>
        <w:t>.</w:t>
      </w:r>
    </w:p>
    <w:tbl>
      <w:tblPr>
        <w:tblStyle w:val="TableGrid"/>
        <w:tblW w:w="0" w:type="auto"/>
        <w:tblLook w:val="04A0" w:firstRow="1" w:lastRow="0" w:firstColumn="1" w:lastColumn="0" w:noHBand="0" w:noVBand="1"/>
      </w:tblPr>
      <w:tblGrid>
        <w:gridCol w:w="10308"/>
      </w:tblGrid>
      <w:tr w:rsidR="004E6421" w14:paraId="3F07E2C5" w14:textId="77777777" w:rsidTr="004E6421">
        <w:tc>
          <w:tcPr>
            <w:tcW w:w="10308" w:type="dxa"/>
          </w:tcPr>
          <w:p w14:paraId="7E454324" w14:textId="409A2D77" w:rsidR="004E6421" w:rsidRPr="00E07AE2" w:rsidRDefault="009A4556" w:rsidP="004E6421">
            <w:pPr>
              <w:spacing w:before="200"/>
              <w:rPr>
                <w:b/>
              </w:rPr>
            </w:pPr>
            <w:r w:rsidRPr="009A4556">
              <w:rPr>
                <w:b/>
                <w:bCs/>
                <w:caps/>
              </w:rPr>
              <w:t>Consultation question</w:t>
            </w:r>
            <w:r w:rsidR="004E6421" w:rsidRPr="00E07AE2">
              <w:rPr>
                <w:b/>
              </w:rPr>
              <w:t>:</w:t>
            </w:r>
          </w:p>
          <w:p w14:paraId="18242E10" w14:textId="3D0AA33A" w:rsidR="004E6421" w:rsidRDefault="004E6421" w:rsidP="00DC09AD">
            <w:pPr>
              <w:pStyle w:val="ListParagraph"/>
              <w:numPr>
                <w:ilvl w:val="0"/>
                <w:numId w:val="65"/>
              </w:numPr>
              <w:spacing w:before="200" w:after="200"/>
            </w:pPr>
            <w:r>
              <w:t>Do the arrangements described in section 6 create a satisfac</w:t>
            </w:r>
            <w:r w:rsidR="00A84DC7">
              <w:t>tory balance of risk and reward</w:t>
            </w:r>
            <w:r>
              <w:t xml:space="preserve"> for managing the timing of presentation of capacity? Please explain your response.  </w:t>
            </w:r>
          </w:p>
        </w:tc>
      </w:tr>
    </w:tbl>
    <w:p w14:paraId="0952A176" w14:textId="77777777" w:rsidR="00DC09AD" w:rsidRDefault="00285623" w:rsidP="001E5398">
      <w:pPr>
        <w:pStyle w:val="Heading1"/>
        <w:keepNext/>
        <w:rPr>
          <w:lang w:eastAsia="en-AU"/>
        </w:rPr>
      </w:pPr>
      <w:bookmarkStart w:id="24" w:name="_Toc59188477"/>
      <w:r>
        <w:rPr>
          <w:lang w:eastAsia="en-AU"/>
        </w:rPr>
        <w:t>T</w:t>
      </w:r>
      <w:r w:rsidR="00DC09AD">
        <w:rPr>
          <w:lang w:eastAsia="en-AU"/>
        </w:rPr>
        <w:t>ransition</w:t>
      </w:r>
      <w:bookmarkEnd w:id="24"/>
    </w:p>
    <w:p w14:paraId="4B18584A" w14:textId="7323F32C" w:rsidR="00760F09" w:rsidRPr="008722C4" w:rsidRDefault="00EE4F6B" w:rsidP="001E5398">
      <w:pPr>
        <w:keepNext/>
        <w:rPr>
          <w:lang w:eastAsia="en-AU"/>
        </w:rPr>
      </w:pPr>
      <w:r>
        <w:rPr>
          <w:lang w:eastAsia="en-AU"/>
        </w:rPr>
        <w:t xml:space="preserve">Both </w:t>
      </w:r>
      <w:r w:rsidR="00965872">
        <w:rPr>
          <w:lang w:eastAsia="en-AU"/>
        </w:rPr>
        <w:t xml:space="preserve">the </w:t>
      </w:r>
      <w:r w:rsidR="00965872" w:rsidRPr="003665A6">
        <w:rPr>
          <w:lang w:eastAsia="en-AU"/>
        </w:rPr>
        <w:t>reliability and essential system services components</w:t>
      </w:r>
      <w:r w:rsidRPr="003665A6">
        <w:rPr>
          <w:lang w:eastAsia="en-AU"/>
        </w:rPr>
        <w:t xml:space="preserve"> of the NTEM Priority Reform Program are expected to </w:t>
      </w:r>
      <w:r w:rsidR="00A7776F" w:rsidRPr="003665A6">
        <w:rPr>
          <w:lang w:eastAsia="en-AU"/>
        </w:rPr>
        <w:t xml:space="preserve">be </w:t>
      </w:r>
      <w:r w:rsidR="00A7776F" w:rsidRPr="00E87A99">
        <w:rPr>
          <w:lang w:eastAsia="en-AU"/>
        </w:rPr>
        <w:t xml:space="preserve">implemented </w:t>
      </w:r>
      <w:r w:rsidRPr="00E87A99">
        <w:rPr>
          <w:lang w:eastAsia="en-AU"/>
        </w:rPr>
        <w:t>in late 2021</w:t>
      </w:r>
      <w:r w:rsidR="003665A6" w:rsidRPr="00E87A99">
        <w:rPr>
          <w:lang w:eastAsia="en-AU"/>
        </w:rPr>
        <w:t xml:space="preserve">, noting that commencement of the capacity mechanism will depend on transitional arrangements determined through consultation. </w:t>
      </w:r>
      <w:r w:rsidR="00965872" w:rsidRPr="003665A6">
        <w:rPr>
          <w:lang w:eastAsia="en-AU"/>
        </w:rPr>
        <w:t>The review</w:t>
      </w:r>
      <w:r w:rsidR="00965872">
        <w:rPr>
          <w:lang w:eastAsia="en-AU"/>
        </w:rPr>
        <w:t xml:space="preserve"> of the competitive provision of essential system services is being undertaken concurrently to the development of, and </w:t>
      </w:r>
      <w:r w:rsidR="00965872">
        <w:rPr>
          <w:lang w:eastAsia="en-AU"/>
        </w:rPr>
        <w:lastRenderedPageBreak/>
        <w:t xml:space="preserve">consultation on, the proposed capacity mechanism. </w:t>
      </w:r>
      <w:r>
        <w:rPr>
          <w:lang w:eastAsia="en-AU"/>
        </w:rPr>
        <w:t xml:space="preserve">Alignment in </w:t>
      </w:r>
      <w:r w:rsidR="003665A6">
        <w:rPr>
          <w:lang w:eastAsia="en-AU"/>
        </w:rPr>
        <w:t xml:space="preserve">timing of these reforms </w:t>
      </w:r>
      <w:r>
        <w:rPr>
          <w:lang w:eastAsia="en-AU"/>
        </w:rPr>
        <w:t xml:space="preserve">is important, as </w:t>
      </w:r>
      <w:r w:rsidR="004D3A99">
        <w:rPr>
          <w:lang w:eastAsia="en-AU"/>
        </w:rPr>
        <w:t>arrangements for th</w:t>
      </w:r>
      <w:r w:rsidR="00965872">
        <w:rPr>
          <w:lang w:eastAsia="en-AU"/>
        </w:rPr>
        <w:t>e essential system</w:t>
      </w:r>
      <w:r w:rsidR="004D3A99">
        <w:rPr>
          <w:lang w:eastAsia="en-AU"/>
        </w:rPr>
        <w:t xml:space="preserve"> services need to be fully functional before the capacity </w:t>
      </w:r>
      <w:r w:rsidR="004D3A99" w:rsidRPr="008722C4">
        <w:rPr>
          <w:lang w:eastAsia="en-AU"/>
        </w:rPr>
        <w:t>mechanism can operate effectively</w:t>
      </w:r>
      <w:r w:rsidR="00BB51D3" w:rsidRPr="008722C4">
        <w:rPr>
          <w:lang w:eastAsia="en-AU"/>
        </w:rPr>
        <w:t xml:space="preserve"> to ensure the priority reforms are implemented in a coordinated and integrated manner.</w:t>
      </w:r>
      <w:r w:rsidR="00BB51D3" w:rsidRPr="008722C4">
        <w:rPr>
          <w:rStyle w:val="FootnoteReference"/>
          <w:lang w:eastAsia="en-AU"/>
        </w:rPr>
        <w:footnoteReference w:id="14"/>
      </w:r>
      <w:r w:rsidR="005A044D" w:rsidRPr="008722C4">
        <w:rPr>
          <w:lang w:eastAsia="en-AU"/>
        </w:rPr>
        <w:t xml:space="preserve"> </w:t>
      </w:r>
    </w:p>
    <w:p w14:paraId="5B75E7EB" w14:textId="0832ED53" w:rsidR="004405CC" w:rsidRPr="00A7776F" w:rsidRDefault="00965872" w:rsidP="00285623">
      <w:pPr>
        <w:rPr>
          <w:lang w:eastAsia="en-AU"/>
        </w:rPr>
      </w:pPr>
      <w:r w:rsidRPr="00A7776F">
        <w:rPr>
          <w:lang w:eastAsia="en-AU"/>
        </w:rPr>
        <w:t>On this basis, it is anticipated that the first year that capacity requirements will be calculated is 2022-2</w:t>
      </w:r>
      <w:r w:rsidR="005F0D6D" w:rsidRPr="00A7776F">
        <w:rPr>
          <w:lang w:eastAsia="en-AU"/>
        </w:rPr>
        <w:t>3</w:t>
      </w:r>
      <w:r w:rsidR="004405CC" w:rsidRPr="00A7776F">
        <w:rPr>
          <w:lang w:eastAsia="en-AU"/>
        </w:rPr>
        <w:t>; h</w:t>
      </w:r>
      <w:r w:rsidRPr="00A7776F">
        <w:rPr>
          <w:lang w:eastAsia="en-AU"/>
        </w:rPr>
        <w:t xml:space="preserve">owever, </w:t>
      </w:r>
      <w:r w:rsidR="004405CC" w:rsidRPr="00A7776F">
        <w:rPr>
          <w:lang w:eastAsia="en-AU"/>
        </w:rPr>
        <w:t>there will be a</w:t>
      </w:r>
      <w:r w:rsidRPr="00A7776F">
        <w:rPr>
          <w:lang w:eastAsia="en-AU"/>
        </w:rPr>
        <w:t xml:space="preserve"> transition </w:t>
      </w:r>
      <w:r w:rsidR="004405CC" w:rsidRPr="00A7776F">
        <w:rPr>
          <w:lang w:eastAsia="en-AU"/>
        </w:rPr>
        <w:t>before the</w:t>
      </w:r>
      <w:r w:rsidRPr="00A7776F">
        <w:rPr>
          <w:lang w:eastAsia="en-AU"/>
        </w:rPr>
        <w:t xml:space="preserve"> mechanism is </w:t>
      </w:r>
      <w:r w:rsidR="004405CC" w:rsidRPr="00A7776F">
        <w:rPr>
          <w:lang w:eastAsia="en-AU"/>
        </w:rPr>
        <w:t>fully functional</w:t>
      </w:r>
      <w:r w:rsidRPr="00A7776F">
        <w:rPr>
          <w:lang w:eastAsia="en-AU"/>
        </w:rPr>
        <w:t xml:space="preserve">. </w:t>
      </w:r>
      <w:r w:rsidRPr="00A7776F">
        <w:t>For the</w:t>
      </w:r>
      <w:r w:rsidR="004D3A99" w:rsidRPr="00A7776F">
        <w:t xml:space="preserve"> early years in the four</w:t>
      </w:r>
      <w:r w:rsidR="005870EB" w:rsidRPr="00A7776F">
        <w:noBreakHyphen/>
      </w:r>
      <w:r w:rsidR="004D3A99" w:rsidRPr="00A7776F">
        <w:t xml:space="preserve">year rolling period, </w:t>
      </w:r>
      <w:r w:rsidR="00B05CC4" w:rsidRPr="00A7776F">
        <w:t xml:space="preserve">there </w:t>
      </w:r>
      <w:r w:rsidR="00DC2523" w:rsidRPr="00A7776F">
        <w:t>may be insufficient</w:t>
      </w:r>
      <w:r w:rsidR="00B05CC4" w:rsidRPr="00A7776F">
        <w:t xml:space="preserve"> time to seek contracts or additional capacity </w:t>
      </w:r>
      <w:r w:rsidR="004D3A99" w:rsidRPr="00A7776F">
        <w:t xml:space="preserve">(if required) so </w:t>
      </w:r>
      <w:r w:rsidR="00B05CC4" w:rsidRPr="00A7776F">
        <w:t xml:space="preserve">total capacity </w:t>
      </w:r>
      <w:r w:rsidR="00DC2523" w:rsidRPr="00A7776F">
        <w:t>may need to</w:t>
      </w:r>
      <w:r w:rsidR="00B05CC4" w:rsidRPr="00A7776F">
        <w:t xml:space="preserve"> be set to what is currently available. </w:t>
      </w:r>
      <w:r w:rsidR="004D3A99" w:rsidRPr="00A7776F">
        <w:t>Equally, there could be surplus capacity</w:t>
      </w:r>
      <w:r w:rsidR="004405CC" w:rsidRPr="00A7776F">
        <w:t xml:space="preserve"> in which case a </w:t>
      </w:r>
      <w:r w:rsidR="00DC2523" w:rsidRPr="00A7776F">
        <w:t>method of transition</w:t>
      </w:r>
      <w:r w:rsidR="004405CC" w:rsidRPr="00A7776F">
        <w:t xml:space="preserve"> </w:t>
      </w:r>
      <w:r w:rsidR="00DC2523" w:rsidRPr="00A7776F">
        <w:t>will be developed</w:t>
      </w:r>
      <w:r w:rsidR="004405CC" w:rsidRPr="00A7776F">
        <w:t xml:space="preserve"> </w:t>
      </w:r>
      <w:r w:rsidR="00DC2523" w:rsidRPr="00A7776F">
        <w:t xml:space="preserve">to </w:t>
      </w:r>
      <w:r w:rsidR="004405CC" w:rsidRPr="00A7776F">
        <w:t xml:space="preserve">reach a point where the </w:t>
      </w:r>
      <w:r w:rsidR="00374C15" w:rsidRPr="00A7776F">
        <w:t xml:space="preserve">total capacity requirement </w:t>
      </w:r>
      <w:r w:rsidRPr="00A7776F">
        <w:t xml:space="preserve">to achieve the </w:t>
      </w:r>
      <w:r w:rsidR="00FD1C61" w:rsidRPr="00A7776F">
        <w:t>r</w:t>
      </w:r>
      <w:r w:rsidRPr="00A7776F">
        <w:t xml:space="preserve">eliability </w:t>
      </w:r>
      <w:r w:rsidR="00FD1C61" w:rsidRPr="00A7776F">
        <w:t>s</w:t>
      </w:r>
      <w:r w:rsidRPr="00A7776F">
        <w:t xml:space="preserve">tandard </w:t>
      </w:r>
      <w:r w:rsidR="00374C15" w:rsidRPr="00A7776F">
        <w:t>and physical capacity align</w:t>
      </w:r>
      <w:r w:rsidR="005870EB" w:rsidRPr="00A7776F">
        <w:t>,</w:t>
      </w:r>
      <w:r w:rsidR="00374C15" w:rsidRPr="00A7776F">
        <w:t xml:space="preserve"> and the capacity mechanism can operate as designed</w:t>
      </w:r>
      <w:r w:rsidR="00DC2523" w:rsidRPr="00A7776F">
        <w:t xml:space="preserve">. These will be issues that will need to be addressed once the necessary modelling has been conducted </w:t>
      </w:r>
      <w:r w:rsidR="005870EB" w:rsidRPr="00A7776F">
        <w:t xml:space="preserve">in respect to the level of the reliability standard </w:t>
      </w:r>
      <w:r w:rsidR="00DC2523" w:rsidRPr="00A7776F">
        <w:t xml:space="preserve">and it is possible to </w:t>
      </w:r>
      <w:r w:rsidR="004405CC" w:rsidRPr="00A7776F">
        <w:rPr>
          <w:lang w:eastAsia="en-AU"/>
        </w:rPr>
        <w:t>compare actual and require</w:t>
      </w:r>
      <w:r w:rsidR="00DC2523" w:rsidRPr="00A7776F">
        <w:rPr>
          <w:lang w:eastAsia="en-AU"/>
        </w:rPr>
        <w:t xml:space="preserve">d capacity. </w:t>
      </w:r>
    </w:p>
    <w:p w14:paraId="68D4AB7E" w14:textId="4F0FC95D" w:rsidR="00285623" w:rsidRPr="00285623" w:rsidRDefault="00DC2523" w:rsidP="00285623">
      <w:pPr>
        <w:rPr>
          <w:lang w:eastAsia="en-AU"/>
        </w:rPr>
      </w:pPr>
      <w:r w:rsidRPr="00A7776F">
        <w:rPr>
          <w:lang w:eastAsia="en-AU"/>
        </w:rPr>
        <w:t xml:space="preserve">To assist market participants familiarise themselves with concepts, roles and procedures, </w:t>
      </w:r>
      <w:r w:rsidR="00374C15" w:rsidRPr="00A7776F">
        <w:rPr>
          <w:lang w:eastAsia="en-AU"/>
        </w:rPr>
        <w:t>it is proposed to o</w:t>
      </w:r>
      <w:r w:rsidR="00285623" w:rsidRPr="00A7776F">
        <w:rPr>
          <w:lang w:eastAsia="en-AU"/>
        </w:rPr>
        <w:t xml:space="preserve">perate the capacity </w:t>
      </w:r>
      <w:r w:rsidR="00D65D23" w:rsidRPr="00A7776F">
        <w:rPr>
          <w:lang w:eastAsia="en-AU"/>
        </w:rPr>
        <w:t xml:space="preserve">mechanism </w:t>
      </w:r>
      <w:r w:rsidR="00285623" w:rsidRPr="00A7776F">
        <w:rPr>
          <w:lang w:eastAsia="en-AU"/>
        </w:rPr>
        <w:t>on a virtual basis until 202</w:t>
      </w:r>
      <w:r w:rsidR="00992324" w:rsidRPr="00A7776F">
        <w:rPr>
          <w:lang w:eastAsia="en-AU"/>
        </w:rPr>
        <w:t>5</w:t>
      </w:r>
      <w:r w:rsidR="00374C15" w:rsidRPr="00A7776F">
        <w:rPr>
          <w:lang w:eastAsia="en-AU"/>
        </w:rPr>
        <w:t>-2</w:t>
      </w:r>
      <w:r w:rsidR="00992324" w:rsidRPr="00A7776F">
        <w:rPr>
          <w:lang w:eastAsia="en-AU"/>
        </w:rPr>
        <w:t>6</w:t>
      </w:r>
      <w:r w:rsidRPr="00A7776F">
        <w:rPr>
          <w:lang w:eastAsia="en-AU"/>
        </w:rPr>
        <w:t>. At that point,</w:t>
      </w:r>
      <w:r w:rsidR="00285623" w:rsidRPr="00A7776F">
        <w:rPr>
          <w:lang w:eastAsia="en-AU"/>
        </w:rPr>
        <w:t xml:space="preserve"> retailers </w:t>
      </w:r>
      <w:r w:rsidRPr="00A7776F">
        <w:rPr>
          <w:lang w:eastAsia="en-AU"/>
        </w:rPr>
        <w:t>would</w:t>
      </w:r>
      <w:r w:rsidR="00374C15" w:rsidRPr="00A7776F">
        <w:rPr>
          <w:lang w:eastAsia="en-AU"/>
        </w:rPr>
        <w:t xml:space="preserve"> become </w:t>
      </w:r>
      <w:r w:rsidR="00285623" w:rsidRPr="00A7776F">
        <w:rPr>
          <w:lang w:eastAsia="en-AU"/>
        </w:rPr>
        <w:t>fully accountable</w:t>
      </w:r>
      <w:r w:rsidR="00374C15" w:rsidRPr="00A7776F">
        <w:rPr>
          <w:lang w:eastAsia="en-AU"/>
        </w:rPr>
        <w:t xml:space="preserve"> for their capacity obligations</w:t>
      </w:r>
      <w:r w:rsidR="00285623" w:rsidRPr="00A7776F">
        <w:rPr>
          <w:lang w:eastAsia="en-AU"/>
        </w:rPr>
        <w:t xml:space="preserve">. This </w:t>
      </w:r>
      <w:r w:rsidRPr="00A7776F">
        <w:rPr>
          <w:lang w:eastAsia="en-AU"/>
        </w:rPr>
        <w:t xml:space="preserve">transition period </w:t>
      </w:r>
      <w:r w:rsidR="00285623" w:rsidRPr="00A7776F">
        <w:rPr>
          <w:lang w:eastAsia="en-AU"/>
        </w:rPr>
        <w:t>would</w:t>
      </w:r>
      <w:r w:rsidR="00285623" w:rsidRPr="00285623">
        <w:rPr>
          <w:lang w:eastAsia="en-AU"/>
        </w:rPr>
        <w:t xml:space="preserve"> involve:</w:t>
      </w:r>
    </w:p>
    <w:p w14:paraId="41C3F4C3" w14:textId="68CD62F2" w:rsidR="00285623" w:rsidRPr="00285623" w:rsidRDefault="00285623" w:rsidP="004E6421">
      <w:pPr>
        <w:pStyle w:val="Tablebulletlistlevel1"/>
        <w:spacing w:after="120"/>
        <w:rPr>
          <w:lang w:eastAsia="en-AU"/>
        </w:rPr>
      </w:pPr>
      <w:r w:rsidRPr="00285623">
        <w:rPr>
          <w:lang w:eastAsia="en-AU"/>
        </w:rPr>
        <w:t xml:space="preserve">setting capacity </w:t>
      </w:r>
      <w:r w:rsidR="00374C15">
        <w:rPr>
          <w:lang w:eastAsia="en-AU"/>
        </w:rPr>
        <w:t>requirements</w:t>
      </w:r>
      <w:r w:rsidRPr="00285623">
        <w:rPr>
          <w:lang w:eastAsia="en-AU"/>
        </w:rPr>
        <w:t xml:space="preserve"> in 202</w:t>
      </w:r>
      <w:r w:rsidR="005F0D6D">
        <w:rPr>
          <w:lang w:eastAsia="en-AU"/>
        </w:rPr>
        <w:t>2</w:t>
      </w:r>
      <w:r w:rsidR="00374C15">
        <w:rPr>
          <w:lang w:eastAsia="en-AU"/>
        </w:rPr>
        <w:t>-2</w:t>
      </w:r>
      <w:r w:rsidR="005F0D6D">
        <w:rPr>
          <w:lang w:eastAsia="en-AU"/>
        </w:rPr>
        <w:t>3</w:t>
      </w:r>
      <w:r w:rsidRPr="00285623">
        <w:rPr>
          <w:lang w:eastAsia="en-AU"/>
        </w:rPr>
        <w:t xml:space="preserve"> to apply in 202</w:t>
      </w:r>
      <w:r w:rsidR="00992324">
        <w:rPr>
          <w:lang w:eastAsia="en-AU"/>
        </w:rPr>
        <w:t>5</w:t>
      </w:r>
      <w:r w:rsidR="00374C15">
        <w:rPr>
          <w:lang w:eastAsia="en-AU"/>
        </w:rPr>
        <w:t>-2</w:t>
      </w:r>
      <w:r w:rsidR="00992324">
        <w:rPr>
          <w:lang w:eastAsia="en-AU"/>
        </w:rPr>
        <w:t>6</w:t>
      </w:r>
    </w:p>
    <w:p w14:paraId="1591BD93" w14:textId="24C74FD0" w:rsidR="00285623" w:rsidRPr="00285623" w:rsidRDefault="00285623" w:rsidP="004E6421">
      <w:pPr>
        <w:pStyle w:val="Tablebulletlistlevel1"/>
        <w:spacing w:after="120"/>
        <w:rPr>
          <w:lang w:eastAsia="en-AU"/>
        </w:rPr>
      </w:pPr>
      <w:r>
        <w:rPr>
          <w:lang w:eastAsia="en-AU"/>
        </w:rPr>
        <w:t>c</w:t>
      </w:r>
      <w:r w:rsidRPr="00285623">
        <w:rPr>
          <w:lang w:eastAsia="en-AU"/>
        </w:rPr>
        <w:t>ontinu</w:t>
      </w:r>
      <w:r w:rsidR="005870EB">
        <w:rPr>
          <w:lang w:eastAsia="en-AU"/>
        </w:rPr>
        <w:t>ing</w:t>
      </w:r>
      <w:r w:rsidRPr="00285623">
        <w:rPr>
          <w:lang w:eastAsia="en-AU"/>
        </w:rPr>
        <w:t xml:space="preserve"> current arrangements for 202</w:t>
      </w:r>
      <w:r w:rsidR="00992324">
        <w:rPr>
          <w:lang w:eastAsia="en-AU"/>
        </w:rPr>
        <w:t>3</w:t>
      </w:r>
      <w:r w:rsidR="00374C15">
        <w:rPr>
          <w:lang w:eastAsia="en-AU"/>
        </w:rPr>
        <w:t>-2</w:t>
      </w:r>
      <w:r w:rsidR="00992324">
        <w:rPr>
          <w:lang w:eastAsia="en-AU"/>
        </w:rPr>
        <w:t>4</w:t>
      </w:r>
      <w:r w:rsidRPr="00285623">
        <w:rPr>
          <w:lang w:eastAsia="en-AU"/>
        </w:rPr>
        <w:t xml:space="preserve"> and 202</w:t>
      </w:r>
      <w:r w:rsidR="00992324">
        <w:rPr>
          <w:lang w:eastAsia="en-AU"/>
        </w:rPr>
        <w:t>4</w:t>
      </w:r>
      <w:r w:rsidR="00374C15">
        <w:rPr>
          <w:lang w:eastAsia="en-AU"/>
        </w:rPr>
        <w:t>-2</w:t>
      </w:r>
      <w:r w:rsidR="00992324">
        <w:rPr>
          <w:lang w:eastAsia="en-AU"/>
        </w:rPr>
        <w:t>5</w:t>
      </w:r>
    </w:p>
    <w:p w14:paraId="132276FD" w14:textId="758EE84A" w:rsidR="00285623" w:rsidRPr="00285623" w:rsidRDefault="00285623" w:rsidP="004E6421">
      <w:pPr>
        <w:pStyle w:val="Tablebulletlistlevel1"/>
        <w:spacing w:after="120"/>
        <w:rPr>
          <w:lang w:eastAsia="en-AU"/>
        </w:rPr>
      </w:pPr>
      <w:r>
        <w:rPr>
          <w:lang w:eastAsia="en-AU"/>
        </w:rPr>
        <w:t>c</w:t>
      </w:r>
      <w:r w:rsidRPr="00285623">
        <w:rPr>
          <w:lang w:eastAsia="en-AU"/>
        </w:rPr>
        <w:t>reat</w:t>
      </w:r>
      <w:r w:rsidR="005870EB">
        <w:rPr>
          <w:lang w:eastAsia="en-AU"/>
        </w:rPr>
        <w:t xml:space="preserve">ing </w:t>
      </w:r>
      <w:r w:rsidRPr="00285623">
        <w:rPr>
          <w:lang w:eastAsia="en-AU"/>
        </w:rPr>
        <w:t>an information package to show what the financial outcomes would have been in 202</w:t>
      </w:r>
      <w:r w:rsidR="00992324">
        <w:rPr>
          <w:lang w:eastAsia="en-AU"/>
        </w:rPr>
        <w:t>2</w:t>
      </w:r>
      <w:r w:rsidRPr="00285623">
        <w:rPr>
          <w:lang w:eastAsia="en-AU"/>
        </w:rPr>
        <w:t>-2</w:t>
      </w:r>
      <w:r w:rsidR="00992324">
        <w:rPr>
          <w:lang w:eastAsia="en-AU"/>
        </w:rPr>
        <w:t>5</w:t>
      </w:r>
      <w:r w:rsidRPr="00285623">
        <w:rPr>
          <w:lang w:eastAsia="en-AU"/>
        </w:rPr>
        <w:t xml:space="preserve"> if the </w:t>
      </w:r>
      <w:r w:rsidR="00374C15">
        <w:rPr>
          <w:lang w:eastAsia="en-AU"/>
        </w:rPr>
        <w:t>capacity market</w:t>
      </w:r>
      <w:r w:rsidRPr="00285623">
        <w:rPr>
          <w:lang w:eastAsia="en-AU"/>
        </w:rPr>
        <w:t xml:space="preserve"> had been live</w:t>
      </w:r>
      <w:r w:rsidR="005870EB">
        <w:rPr>
          <w:lang w:eastAsia="en-AU"/>
        </w:rPr>
        <w:t>;</w:t>
      </w:r>
      <w:r w:rsidR="00374C15">
        <w:rPr>
          <w:lang w:eastAsia="en-AU"/>
        </w:rPr>
        <w:t xml:space="preserve"> and </w:t>
      </w:r>
    </w:p>
    <w:p w14:paraId="41518506" w14:textId="2DE80811" w:rsidR="004E6421" w:rsidRDefault="005870EB" w:rsidP="004E6421">
      <w:pPr>
        <w:pStyle w:val="Tablebulletlistlevel1"/>
        <w:spacing w:after="200"/>
        <w:rPr>
          <w:lang w:eastAsia="en-AU"/>
        </w:rPr>
      </w:pPr>
      <w:proofErr w:type="gramStart"/>
      <w:r>
        <w:rPr>
          <w:lang w:eastAsia="en-AU"/>
        </w:rPr>
        <w:t>modifying</w:t>
      </w:r>
      <w:proofErr w:type="gramEnd"/>
      <w:r w:rsidR="00285623" w:rsidRPr="00285623">
        <w:rPr>
          <w:lang w:eastAsia="en-AU"/>
        </w:rPr>
        <w:t xml:space="preserve"> the virtual capacity requirements informed by timetables for </w:t>
      </w:r>
      <w:r w:rsidR="00374C15">
        <w:rPr>
          <w:lang w:eastAsia="en-AU"/>
        </w:rPr>
        <w:t>retirement of existing</w:t>
      </w:r>
      <w:r w:rsidR="00285623" w:rsidRPr="00285623">
        <w:rPr>
          <w:lang w:eastAsia="en-AU"/>
        </w:rPr>
        <w:t xml:space="preserve"> plant and </w:t>
      </w:r>
      <w:r w:rsidR="00374C15">
        <w:rPr>
          <w:lang w:eastAsia="en-AU"/>
        </w:rPr>
        <w:t>introduction of the essential system services framework</w:t>
      </w:r>
      <w:r w:rsidR="00285623" w:rsidRPr="00285623">
        <w:rPr>
          <w:lang w:eastAsia="en-AU"/>
        </w:rPr>
        <w:t>.</w:t>
      </w:r>
    </w:p>
    <w:tbl>
      <w:tblPr>
        <w:tblStyle w:val="TableGrid"/>
        <w:tblW w:w="0" w:type="auto"/>
        <w:tblLook w:val="04A0" w:firstRow="1" w:lastRow="0" w:firstColumn="1" w:lastColumn="0" w:noHBand="0" w:noVBand="1"/>
      </w:tblPr>
      <w:tblGrid>
        <w:gridCol w:w="10308"/>
      </w:tblGrid>
      <w:tr w:rsidR="004E6421" w14:paraId="598E6142" w14:textId="77777777" w:rsidTr="004E6421">
        <w:tc>
          <w:tcPr>
            <w:tcW w:w="10308" w:type="dxa"/>
          </w:tcPr>
          <w:p w14:paraId="07953C97" w14:textId="1CD966C9" w:rsidR="004E6421" w:rsidRPr="00E07AE2" w:rsidRDefault="009A4556" w:rsidP="004E6421">
            <w:pPr>
              <w:spacing w:before="200"/>
              <w:rPr>
                <w:b/>
              </w:rPr>
            </w:pPr>
            <w:r w:rsidRPr="009A4556">
              <w:rPr>
                <w:b/>
                <w:bCs/>
                <w:caps/>
              </w:rPr>
              <w:t>Consultation question</w:t>
            </w:r>
            <w:r w:rsidR="004E6421" w:rsidRPr="00E07AE2">
              <w:rPr>
                <w:b/>
              </w:rPr>
              <w:t>:</w:t>
            </w:r>
          </w:p>
          <w:p w14:paraId="0342226F" w14:textId="2BACE089" w:rsidR="004E6421" w:rsidRDefault="004E6421" w:rsidP="004E6421">
            <w:pPr>
              <w:pStyle w:val="ListParagraph"/>
              <w:numPr>
                <w:ilvl w:val="0"/>
                <w:numId w:val="65"/>
              </w:numPr>
              <w:spacing w:before="200" w:after="200"/>
            </w:pPr>
            <w:r>
              <w:t xml:space="preserve">Will the proposal to operate a virtual capacity </w:t>
            </w:r>
            <w:r w:rsidR="00D65D23">
              <w:t xml:space="preserve">mechanism </w:t>
            </w:r>
            <w:r>
              <w:t xml:space="preserve">and the associated timeframes be helpful in assisting participants to understand and prepare for full operation? Please explain your response. </w:t>
            </w:r>
          </w:p>
          <w:p w14:paraId="1B2FAAEF" w14:textId="722BC45D" w:rsidR="004E6421" w:rsidRDefault="004E6421" w:rsidP="004E6421">
            <w:pPr>
              <w:pStyle w:val="ListParagraph"/>
              <w:numPr>
                <w:ilvl w:val="0"/>
                <w:numId w:val="65"/>
              </w:numPr>
              <w:spacing w:before="200" w:after="200"/>
            </w:pPr>
            <w:r>
              <w:t>What other information or initiatives would be helpful to inform participants on capacity m</w:t>
            </w:r>
            <w:r w:rsidR="00D65D23">
              <w:t>echanism</w:t>
            </w:r>
            <w:r>
              <w:t xml:space="preserve"> operations in order to prepare for live operation of the </w:t>
            </w:r>
            <w:r w:rsidR="00D65D23">
              <w:t xml:space="preserve">mechanism </w:t>
            </w:r>
            <w:r>
              <w:t>in 2025-26?</w:t>
            </w:r>
          </w:p>
          <w:p w14:paraId="6507066D" w14:textId="14192530" w:rsidR="004E6421" w:rsidRDefault="004E6421" w:rsidP="00BD3AC6">
            <w:pPr>
              <w:pStyle w:val="ListParagraph"/>
              <w:numPr>
                <w:ilvl w:val="0"/>
                <w:numId w:val="65"/>
              </w:numPr>
              <w:spacing w:before="200" w:after="200"/>
            </w:pPr>
            <w:r>
              <w:t xml:space="preserve">Alternatively, rather than applying a virtual capacity mechanism until 2025-26, do you consider that an earlier commencement of a full operational </w:t>
            </w:r>
            <w:r w:rsidR="00D65D23">
              <w:t xml:space="preserve">mechanism </w:t>
            </w:r>
            <w:r>
              <w:t xml:space="preserve">is possible and preferred? Please explain your response.  </w:t>
            </w:r>
          </w:p>
        </w:tc>
      </w:tr>
    </w:tbl>
    <w:p w14:paraId="45A43E73" w14:textId="77777777" w:rsidR="004E6421" w:rsidRDefault="004E6421" w:rsidP="00285623">
      <w:pPr>
        <w:rPr>
          <w:lang w:eastAsia="en-AU"/>
        </w:rPr>
      </w:pPr>
    </w:p>
    <w:p w14:paraId="01948FA8" w14:textId="6F529D16" w:rsidR="002C0B0F" w:rsidRDefault="002C0B0F">
      <w:pPr>
        <w:rPr>
          <w:lang w:eastAsia="en-AU"/>
        </w:rPr>
      </w:pPr>
      <w:r>
        <w:rPr>
          <w:lang w:eastAsia="en-AU"/>
        </w:rPr>
        <w:br w:type="page"/>
      </w:r>
    </w:p>
    <w:p w14:paraId="3B57DAB3" w14:textId="4A52CC6E" w:rsidR="00DC09AD" w:rsidRDefault="00440A9A" w:rsidP="008C3023">
      <w:pPr>
        <w:pStyle w:val="Heading1"/>
        <w:rPr>
          <w:lang w:eastAsia="en-AU"/>
        </w:rPr>
      </w:pPr>
      <w:bookmarkStart w:id="25" w:name="_Toc59188478"/>
      <w:r>
        <w:rPr>
          <w:lang w:eastAsia="en-AU"/>
        </w:rPr>
        <w:lastRenderedPageBreak/>
        <w:t>Implementation and next steps</w:t>
      </w:r>
      <w:bookmarkEnd w:id="25"/>
    </w:p>
    <w:p w14:paraId="0BE20F47" w14:textId="3887BF3F" w:rsidR="00317C3B" w:rsidRPr="00317C3B" w:rsidRDefault="00317C3B" w:rsidP="00317C3B">
      <w:pPr>
        <w:pStyle w:val="Heading2"/>
        <w:rPr>
          <w:lang w:eastAsia="en-AU"/>
        </w:rPr>
      </w:pPr>
      <w:bookmarkStart w:id="26" w:name="_Toc59188479"/>
      <w:r>
        <w:rPr>
          <w:lang w:eastAsia="en-AU"/>
        </w:rPr>
        <w:t>Legislative change</w:t>
      </w:r>
      <w:bookmarkEnd w:id="26"/>
    </w:p>
    <w:p w14:paraId="775658E9" w14:textId="04EFEBAA" w:rsidR="00F5469C" w:rsidRDefault="00F5469C" w:rsidP="000B4DAA">
      <w:pPr>
        <w:rPr>
          <w:lang w:eastAsia="en-AU"/>
        </w:rPr>
      </w:pPr>
      <w:r w:rsidRPr="00F5469C">
        <w:rPr>
          <w:lang w:eastAsia="en-AU"/>
        </w:rPr>
        <w:t xml:space="preserve">Introduction of the </w:t>
      </w:r>
      <w:r w:rsidR="007B1ABA">
        <w:rPr>
          <w:lang w:eastAsia="en-AU"/>
        </w:rPr>
        <w:t>r</w:t>
      </w:r>
      <w:r w:rsidRPr="00F5469C">
        <w:rPr>
          <w:lang w:eastAsia="en-AU"/>
        </w:rPr>
        <w:t xml:space="preserve">eliability </w:t>
      </w:r>
      <w:r w:rsidR="007B1ABA">
        <w:rPr>
          <w:lang w:eastAsia="en-AU"/>
        </w:rPr>
        <w:t xml:space="preserve">framework </w:t>
      </w:r>
      <w:r w:rsidR="00EE7746">
        <w:rPr>
          <w:lang w:eastAsia="en-AU"/>
        </w:rPr>
        <w:t>will be a</w:t>
      </w:r>
      <w:r w:rsidRPr="00F5469C">
        <w:rPr>
          <w:lang w:eastAsia="en-AU"/>
        </w:rPr>
        <w:t xml:space="preserve"> substantial change to the current regulatory framework for the Territory’</w:t>
      </w:r>
      <w:r>
        <w:rPr>
          <w:lang w:eastAsia="en-AU"/>
        </w:rPr>
        <w:t>s electricity sector</w:t>
      </w:r>
      <w:r w:rsidR="007B1ABA">
        <w:rPr>
          <w:lang w:eastAsia="en-AU"/>
        </w:rPr>
        <w:t xml:space="preserve">. The </w:t>
      </w:r>
      <w:r>
        <w:rPr>
          <w:lang w:eastAsia="en-AU"/>
        </w:rPr>
        <w:t xml:space="preserve">framework </w:t>
      </w:r>
      <w:r w:rsidR="007B1ABA">
        <w:rPr>
          <w:lang w:eastAsia="en-AU"/>
        </w:rPr>
        <w:t>will</w:t>
      </w:r>
      <w:r>
        <w:rPr>
          <w:lang w:eastAsia="en-AU"/>
        </w:rPr>
        <w:t xml:space="preserve"> guide future investment in capacity in the sector. Accordingly, there needs to be clear and transparent rules underpinning the framework to ensure industry parti</w:t>
      </w:r>
      <w:r w:rsidR="00C50B67">
        <w:rPr>
          <w:lang w:eastAsia="en-AU"/>
        </w:rPr>
        <w:t xml:space="preserve">cipant and investor confidence. </w:t>
      </w:r>
      <w:r>
        <w:rPr>
          <w:lang w:eastAsia="en-AU"/>
        </w:rPr>
        <w:t xml:space="preserve">Legislative and regulatory change (amendments to Acts and regulations) will be required to implement the </w:t>
      </w:r>
      <w:r w:rsidR="007B1ABA">
        <w:rPr>
          <w:lang w:eastAsia="en-AU"/>
        </w:rPr>
        <w:t>r</w:t>
      </w:r>
      <w:r>
        <w:rPr>
          <w:lang w:eastAsia="en-AU"/>
        </w:rPr>
        <w:t xml:space="preserve">eliability </w:t>
      </w:r>
      <w:r w:rsidR="007B1ABA">
        <w:rPr>
          <w:lang w:eastAsia="en-AU"/>
        </w:rPr>
        <w:t>framework</w:t>
      </w:r>
      <w:r>
        <w:rPr>
          <w:lang w:eastAsia="en-AU"/>
        </w:rPr>
        <w:t xml:space="preserve"> because: </w:t>
      </w:r>
    </w:p>
    <w:p w14:paraId="469DCCD1" w14:textId="0548AE33" w:rsidR="00F5469C" w:rsidRDefault="00F5469C" w:rsidP="004E6421">
      <w:pPr>
        <w:pStyle w:val="Tablebulletlistlevel1"/>
        <w:spacing w:after="120"/>
        <w:rPr>
          <w:lang w:eastAsia="en-AU"/>
        </w:rPr>
      </w:pPr>
      <w:r>
        <w:rPr>
          <w:lang w:eastAsia="en-AU"/>
        </w:rPr>
        <w:t>a legislative basis is required to support new powers and responsibilities proposed for the Reliability Manager and retailers</w:t>
      </w:r>
      <w:r w:rsidR="00B57780">
        <w:rPr>
          <w:lang w:eastAsia="en-AU"/>
        </w:rPr>
        <w:t>;</w:t>
      </w:r>
      <w:r w:rsidR="007B1ABA">
        <w:rPr>
          <w:lang w:eastAsia="en-AU"/>
        </w:rPr>
        <w:t xml:space="preserve"> and </w:t>
      </w:r>
    </w:p>
    <w:p w14:paraId="18C27EA5" w14:textId="43FA7D8A" w:rsidR="00D27F0A" w:rsidRDefault="004E0212" w:rsidP="004E6421">
      <w:pPr>
        <w:pStyle w:val="Tablebulletlistlevel1"/>
        <w:spacing w:after="120"/>
        <w:rPr>
          <w:lang w:eastAsia="en-AU"/>
        </w:rPr>
      </w:pPr>
      <w:proofErr w:type="gramStart"/>
      <w:r>
        <w:rPr>
          <w:lang w:eastAsia="en-AU"/>
        </w:rPr>
        <w:t>the</w:t>
      </w:r>
      <w:proofErr w:type="gramEnd"/>
      <w:r>
        <w:rPr>
          <w:lang w:eastAsia="en-AU"/>
        </w:rPr>
        <w:t xml:space="preserve"> </w:t>
      </w:r>
      <w:r w:rsidR="007B1ABA">
        <w:rPr>
          <w:lang w:eastAsia="en-AU"/>
        </w:rPr>
        <w:t>r</w:t>
      </w:r>
      <w:r>
        <w:rPr>
          <w:lang w:eastAsia="en-AU"/>
        </w:rPr>
        <w:t xml:space="preserve">eliability </w:t>
      </w:r>
      <w:r w:rsidR="007B1ABA">
        <w:rPr>
          <w:lang w:eastAsia="en-AU"/>
        </w:rPr>
        <w:t>s</w:t>
      </w:r>
      <w:r>
        <w:rPr>
          <w:lang w:eastAsia="en-AU"/>
        </w:rPr>
        <w:t xml:space="preserve">tandard </w:t>
      </w:r>
      <w:r w:rsidR="00BE0F9F">
        <w:rPr>
          <w:lang w:eastAsia="en-AU"/>
        </w:rPr>
        <w:t xml:space="preserve">will </w:t>
      </w:r>
      <w:r>
        <w:rPr>
          <w:lang w:eastAsia="en-AU"/>
        </w:rPr>
        <w:t>be</w:t>
      </w:r>
      <w:r w:rsidR="00D67798">
        <w:rPr>
          <w:lang w:eastAsia="en-AU"/>
        </w:rPr>
        <w:t xml:space="preserve"> set by </w:t>
      </w:r>
      <w:r w:rsidR="00BE0F9F">
        <w:rPr>
          <w:lang w:eastAsia="en-AU"/>
        </w:rPr>
        <w:t>g</w:t>
      </w:r>
      <w:r w:rsidR="00D67798">
        <w:rPr>
          <w:lang w:eastAsia="en-AU"/>
        </w:rPr>
        <w:t xml:space="preserve">overnment and </w:t>
      </w:r>
      <w:r w:rsidR="00BE0F9F">
        <w:rPr>
          <w:lang w:eastAsia="en-AU"/>
        </w:rPr>
        <w:t>implemented through</w:t>
      </w:r>
      <w:r w:rsidR="00D67798">
        <w:rPr>
          <w:lang w:eastAsia="en-AU"/>
        </w:rPr>
        <w:t xml:space="preserve"> regulat</w:t>
      </w:r>
      <w:r w:rsidR="00BE0F9F">
        <w:rPr>
          <w:lang w:eastAsia="en-AU"/>
        </w:rPr>
        <w:t>ions</w:t>
      </w:r>
      <w:r>
        <w:rPr>
          <w:lang w:eastAsia="en-AU"/>
        </w:rPr>
        <w:t>.</w:t>
      </w:r>
    </w:p>
    <w:p w14:paraId="437F807D" w14:textId="035FAB98" w:rsidR="005B14C1" w:rsidRDefault="00C50B67" w:rsidP="00C50B67">
      <w:pPr>
        <w:rPr>
          <w:lang w:eastAsia="en-AU"/>
        </w:rPr>
      </w:pPr>
      <w:r>
        <w:rPr>
          <w:lang w:eastAsia="en-AU"/>
        </w:rPr>
        <w:t>While the capacity mechanism could be established through code changes (such as the Power and Water Corporation’s SCTC)</w:t>
      </w:r>
      <w:r w:rsidR="00B264DF">
        <w:rPr>
          <w:rStyle w:val="FootnoteReference"/>
          <w:lang w:eastAsia="en-AU"/>
        </w:rPr>
        <w:footnoteReference w:id="15"/>
      </w:r>
      <w:r>
        <w:rPr>
          <w:lang w:eastAsia="en-AU"/>
        </w:rPr>
        <w:t>, this option is not preferred as it does not represent best practice and may not provide the same level of confidence to industry as if it was established through legislative instruments.</w:t>
      </w:r>
      <w:r w:rsidR="005B14C1">
        <w:rPr>
          <w:lang w:eastAsia="en-AU"/>
        </w:rPr>
        <w:t xml:space="preserve"> Additionally, while the reliability reforms are intended to be implemented as quickly as possible, it is appropriate for transition as discussed in section 7 in recognition that a capacity mechanism is a substantial change for market participants to prepare for. </w:t>
      </w:r>
    </w:p>
    <w:p w14:paraId="4DC7F517" w14:textId="4ED05A66" w:rsidR="00C50B67" w:rsidRDefault="00BE4FBE" w:rsidP="00C50B67">
      <w:pPr>
        <w:rPr>
          <w:lang w:eastAsia="en-AU"/>
        </w:rPr>
      </w:pPr>
      <w:r>
        <w:rPr>
          <w:lang w:eastAsia="en-AU"/>
        </w:rPr>
        <w:t xml:space="preserve">It is proposed that </w:t>
      </w:r>
      <w:r w:rsidR="00C50B67">
        <w:rPr>
          <w:lang w:eastAsia="en-AU"/>
        </w:rPr>
        <w:t xml:space="preserve">that </w:t>
      </w:r>
      <w:r w:rsidR="004E0212">
        <w:rPr>
          <w:lang w:eastAsia="en-AU"/>
        </w:rPr>
        <w:t xml:space="preserve">detailed rules </w:t>
      </w:r>
      <w:r w:rsidR="00D67798">
        <w:rPr>
          <w:lang w:eastAsia="en-AU"/>
        </w:rPr>
        <w:t>governing the capacity mechanism</w:t>
      </w:r>
      <w:r w:rsidR="004E0212">
        <w:rPr>
          <w:lang w:eastAsia="en-AU"/>
        </w:rPr>
        <w:t xml:space="preserve"> </w:t>
      </w:r>
      <w:r w:rsidR="00C50B67">
        <w:rPr>
          <w:lang w:eastAsia="en-AU"/>
        </w:rPr>
        <w:t xml:space="preserve">will be established </w:t>
      </w:r>
      <w:r w:rsidR="004E0212">
        <w:rPr>
          <w:lang w:eastAsia="en-AU"/>
        </w:rPr>
        <w:t xml:space="preserve">through </w:t>
      </w:r>
      <w:r w:rsidR="00F5469C">
        <w:rPr>
          <w:lang w:eastAsia="en-AU"/>
        </w:rPr>
        <w:t>legislation</w:t>
      </w:r>
      <w:r w:rsidR="004E0212">
        <w:rPr>
          <w:lang w:eastAsia="en-AU"/>
        </w:rPr>
        <w:t xml:space="preserve"> and regulations</w:t>
      </w:r>
      <w:r w:rsidR="00D67798">
        <w:rPr>
          <w:lang w:eastAsia="en-AU"/>
        </w:rPr>
        <w:t xml:space="preserve">. </w:t>
      </w:r>
      <w:r w:rsidR="00C50B67">
        <w:rPr>
          <w:lang w:eastAsia="en-AU"/>
        </w:rPr>
        <w:t xml:space="preserve">At this stage, it is anticipated that amendments to the </w:t>
      </w:r>
      <w:r w:rsidR="00C50B67" w:rsidRPr="00440A9A">
        <w:rPr>
          <w:i/>
          <w:lang w:eastAsia="en-AU"/>
        </w:rPr>
        <w:t>Electricity Reform Act 2000</w:t>
      </w:r>
      <w:r w:rsidR="00C50B67">
        <w:rPr>
          <w:lang w:eastAsia="en-AU"/>
        </w:rPr>
        <w:t xml:space="preserve"> and subordinate regulations will be required to implement the reliability framework.</w:t>
      </w:r>
      <w:r w:rsidR="00C50B67">
        <w:rPr>
          <w:rStyle w:val="FootnoteReference"/>
          <w:lang w:eastAsia="en-AU"/>
        </w:rPr>
        <w:footnoteReference w:id="16"/>
      </w:r>
      <w:r w:rsidR="00C50B67">
        <w:rPr>
          <w:lang w:eastAsia="en-AU"/>
        </w:rPr>
        <w:t xml:space="preserve"> </w:t>
      </w:r>
    </w:p>
    <w:p w14:paraId="7ACC3D34" w14:textId="7BE6791D" w:rsidR="004E6421" w:rsidRDefault="00BE0F9F" w:rsidP="004321A5">
      <w:pPr>
        <w:rPr>
          <w:lang w:eastAsia="en-AU"/>
        </w:rPr>
      </w:pPr>
      <w:r>
        <w:rPr>
          <w:lang w:eastAsia="en-AU"/>
        </w:rPr>
        <w:t>In the l</w:t>
      </w:r>
      <w:r w:rsidR="004E0212">
        <w:rPr>
          <w:lang w:eastAsia="en-AU"/>
        </w:rPr>
        <w:t>onger term, once the framework is well established</w:t>
      </w:r>
      <w:r w:rsidR="00C50B67">
        <w:rPr>
          <w:lang w:eastAsia="en-AU"/>
        </w:rPr>
        <w:t>,</w:t>
      </w:r>
      <w:r w:rsidR="004E0212">
        <w:rPr>
          <w:lang w:eastAsia="en-AU"/>
        </w:rPr>
        <w:t xml:space="preserve"> </w:t>
      </w:r>
      <w:r>
        <w:rPr>
          <w:lang w:eastAsia="en-AU"/>
        </w:rPr>
        <w:t xml:space="preserve">including any refinements needed to improve the efficiency and effectiveness of design elements, </w:t>
      </w:r>
      <w:r w:rsidR="004E0212">
        <w:rPr>
          <w:lang w:eastAsia="en-AU"/>
        </w:rPr>
        <w:t>consideration could be given to transferring rules to the Northern Territory National Electricity Rules</w:t>
      </w:r>
      <w:r w:rsidR="00317C3B">
        <w:rPr>
          <w:lang w:eastAsia="en-AU"/>
        </w:rPr>
        <w:t xml:space="preserve"> and/or expanding the scope of independent </w:t>
      </w:r>
      <w:proofErr w:type="spellStart"/>
      <w:r w:rsidR="00317C3B">
        <w:rPr>
          <w:lang w:eastAsia="en-AU"/>
        </w:rPr>
        <w:t>rule making</w:t>
      </w:r>
      <w:proofErr w:type="spellEnd"/>
      <w:r w:rsidR="00317C3B">
        <w:rPr>
          <w:lang w:eastAsia="en-AU"/>
        </w:rPr>
        <w:t xml:space="preserve"> </w:t>
      </w:r>
      <w:r w:rsidR="005E0CD1">
        <w:rPr>
          <w:lang w:eastAsia="en-AU"/>
        </w:rPr>
        <w:t>in</w:t>
      </w:r>
      <w:r w:rsidR="00317C3B">
        <w:rPr>
          <w:lang w:eastAsia="en-AU"/>
        </w:rPr>
        <w:t xml:space="preserve"> the</w:t>
      </w:r>
      <w:r w:rsidR="00B264DF">
        <w:rPr>
          <w:lang w:eastAsia="en-AU"/>
        </w:rPr>
        <w:t xml:space="preserve"> Territory’s electricity</w:t>
      </w:r>
      <w:r w:rsidR="00317C3B">
        <w:rPr>
          <w:lang w:eastAsia="en-AU"/>
        </w:rPr>
        <w:t xml:space="preserve"> industry. These longer term options may provide for more appropriate and independent governance of the Territory’s electricity industry, noting that consideration of governance arrangements beyond those applicable to reliability arrangements are outside the scope of this review.</w:t>
      </w:r>
      <w:r w:rsidR="009C3F1D">
        <w:rPr>
          <w:lang w:eastAsia="en-AU"/>
        </w:rPr>
        <w:t xml:space="preserve"> </w:t>
      </w:r>
    </w:p>
    <w:tbl>
      <w:tblPr>
        <w:tblStyle w:val="TableGrid"/>
        <w:tblW w:w="0" w:type="auto"/>
        <w:tblLook w:val="04A0" w:firstRow="1" w:lastRow="0" w:firstColumn="1" w:lastColumn="0" w:noHBand="0" w:noVBand="1"/>
      </w:tblPr>
      <w:tblGrid>
        <w:gridCol w:w="10308"/>
      </w:tblGrid>
      <w:tr w:rsidR="004E6421" w14:paraId="4717B92D" w14:textId="77777777" w:rsidTr="004E6421">
        <w:tc>
          <w:tcPr>
            <w:tcW w:w="10308" w:type="dxa"/>
          </w:tcPr>
          <w:p w14:paraId="4C32958C" w14:textId="1F244776" w:rsidR="004E6421" w:rsidRPr="00E07AE2" w:rsidRDefault="009A4556" w:rsidP="004E6421">
            <w:pPr>
              <w:spacing w:before="200"/>
              <w:rPr>
                <w:b/>
              </w:rPr>
            </w:pPr>
            <w:r w:rsidRPr="009A4556">
              <w:rPr>
                <w:b/>
                <w:bCs/>
                <w:caps/>
              </w:rPr>
              <w:t>Consultation question</w:t>
            </w:r>
            <w:r w:rsidR="004E6421" w:rsidRPr="00E07AE2">
              <w:rPr>
                <w:b/>
              </w:rPr>
              <w:t>:</w:t>
            </w:r>
          </w:p>
          <w:p w14:paraId="01D0ECC3" w14:textId="47D6CD36" w:rsidR="004E6421" w:rsidRDefault="004E6421" w:rsidP="004E6421">
            <w:pPr>
              <w:pStyle w:val="ListParagraph"/>
              <w:numPr>
                <w:ilvl w:val="0"/>
                <w:numId w:val="65"/>
              </w:numPr>
              <w:spacing w:before="200" w:after="200"/>
            </w:pPr>
            <w:r>
              <w:t>Do stakeholders have an alternative preferred option to implementation through legislative and regulatory change? If so, please describe the approach and provide reasoning for why it is preferred.</w:t>
            </w:r>
          </w:p>
        </w:tc>
      </w:tr>
    </w:tbl>
    <w:p w14:paraId="2A79EF66" w14:textId="596AA1FD" w:rsidR="00440A9A" w:rsidRDefault="00440A9A" w:rsidP="004321A5">
      <w:pPr>
        <w:rPr>
          <w:lang w:eastAsia="en-AU"/>
        </w:rPr>
      </w:pPr>
    </w:p>
    <w:p w14:paraId="0121C7C1" w14:textId="60E705B1" w:rsidR="00317C3B" w:rsidRPr="002C0B0F" w:rsidRDefault="00317C3B" w:rsidP="002C0B0F">
      <w:pPr>
        <w:pStyle w:val="Heading2"/>
      </w:pPr>
      <w:bookmarkStart w:id="27" w:name="_Toc59188480"/>
      <w:r w:rsidRPr="002C0B0F">
        <w:t>Next steps</w:t>
      </w:r>
      <w:bookmarkEnd w:id="27"/>
    </w:p>
    <w:p w14:paraId="54AD9823" w14:textId="6DBFF73C" w:rsidR="007E6BDB" w:rsidRDefault="004321A5" w:rsidP="00D27F0A">
      <w:pPr>
        <w:keepNext/>
        <w:rPr>
          <w:lang w:eastAsia="en-AU"/>
        </w:rPr>
      </w:pPr>
      <w:r>
        <w:rPr>
          <w:lang w:eastAsia="en-AU"/>
        </w:rPr>
        <w:t>I</w:t>
      </w:r>
      <w:r w:rsidR="00440A9A">
        <w:rPr>
          <w:lang w:eastAsia="en-AU"/>
        </w:rPr>
        <w:t xml:space="preserve">mplementation of the </w:t>
      </w:r>
      <w:r>
        <w:rPr>
          <w:lang w:eastAsia="en-AU"/>
        </w:rPr>
        <w:t>r</w:t>
      </w:r>
      <w:r w:rsidR="00440A9A">
        <w:rPr>
          <w:lang w:eastAsia="en-AU"/>
        </w:rPr>
        <w:t xml:space="preserve">eliability </w:t>
      </w:r>
      <w:r>
        <w:rPr>
          <w:lang w:eastAsia="en-AU"/>
        </w:rPr>
        <w:t>s</w:t>
      </w:r>
      <w:r w:rsidR="00440A9A">
        <w:rPr>
          <w:lang w:eastAsia="en-AU"/>
        </w:rPr>
        <w:t>tandard and capacity mechanism is a priority reform identified by the Territory Government</w:t>
      </w:r>
      <w:r w:rsidR="007E6BDB">
        <w:rPr>
          <w:lang w:eastAsia="en-AU"/>
        </w:rPr>
        <w:t xml:space="preserve"> and stakeholder feedback and engagement is important to ensure the design is robust and fit-for-purpose. </w:t>
      </w:r>
    </w:p>
    <w:p w14:paraId="01DBD396" w14:textId="6C16DF08" w:rsidR="00D31D33" w:rsidRPr="00E87A99" w:rsidRDefault="00465730" w:rsidP="00D27F0A">
      <w:pPr>
        <w:keepNext/>
        <w:rPr>
          <w:lang w:eastAsia="en-AU"/>
        </w:rPr>
      </w:pPr>
      <w:r>
        <w:rPr>
          <w:lang w:eastAsia="en-AU"/>
        </w:rPr>
        <w:t xml:space="preserve">Following the release of this consultation paper, </w:t>
      </w:r>
      <w:r w:rsidR="008271D9">
        <w:rPr>
          <w:lang w:eastAsia="en-AU"/>
        </w:rPr>
        <w:t xml:space="preserve">a Stakeholder Working Group workshop on the proposed reliability design will be held to provide the opportunity for </w:t>
      </w:r>
      <w:r>
        <w:rPr>
          <w:lang w:eastAsia="en-AU"/>
        </w:rPr>
        <w:t xml:space="preserve">stakeholders </w:t>
      </w:r>
      <w:r w:rsidR="008271D9">
        <w:rPr>
          <w:lang w:eastAsia="en-AU"/>
        </w:rPr>
        <w:t xml:space="preserve">to provide feedback outside of </w:t>
      </w:r>
      <w:r w:rsidR="008271D9">
        <w:rPr>
          <w:lang w:eastAsia="en-AU"/>
        </w:rPr>
        <w:lastRenderedPageBreak/>
        <w:t>(and in addition to)</w:t>
      </w:r>
      <w:r>
        <w:rPr>
          <w:lang w:eastAsia="en-AU"/>
        </w:rPr>
        <w:t xml:space="preserve"> providing written submissions on this paper. </w:t>
      </w:r>
      <w:r w:rsidR="00D31D33" w:rsidRPr="00E87A99">
        <w:rPr>
          <w:lang w:eastAsia="en-AU"/>
        </w:rPr>
        <w:t xml:space="preserve">The workshop </w:t>
      </w:r>
      <w:r w:rsidR="00FC69AD">
        <w:rPr>
          <w:lang w:eastAsia="en-AU"/>
        </w:rPr>
        <w:t>will be</w:t>
      </w:r>
      <w:r w:rsidR="00D31D33" w:rsidRPr="00E87A99">
        <w:rPr>
          <w:lang w:eastAsia="en-AU"/>
        </w:rPr>
        <w:t xml:space="preserve"> held in </w:t>
      </w:r>
      <w:r w:rsidR="00E87FEE" w:rsidRPr="0075080B">
        <w:rPr>
          <w:lang w:eastAsia="en-AU"/>
        </w:rPr>
        <w:t>early </w:t>
      </w:r>
      <w:r w:rsidR="00302DF6" w:rsidRPr="0075080B">
        <w:rPr>
          <w:lang w:eastAsia="en-AU"/>
        </w:rPr>
        <w:t xml:space="preserve">February </w:t>
      </w:r>
      <w:r w:rsidR="00F1795A" w:rsidRPr="0075080B">
        <w:rPr>
          <w:lang w:eastAsia="en-AU"/>
        </w:rPr>
        <w:t>2021</w:t>
      </w:r>
      <w:r w:rsidR="00D06130" w:rsidRPr="0075080B">
        <w:rPr>
          <w:lang w:eastAsia="en-AU"/>
        </w:rPr>
        <w:t xml:space="preserve"> with</w:t>
      </w:r>
      <w:r w:rsidR="00D06130">
        <w:rPr>
          <w:lang w:eastAsia="en-AU"/>
        </w:rPr>
        <w:t xml:space="preserve"> further details </w:t>
      </w:r>
      <w:r w:rsidR="001452D2">
        <w:rPr>
          <w:lang w:eastAsia="en-AU"/>
        </w:rPr>
        <w:t xml:space="preserve">on the workshop </w:t>
      </w:r>
      <w:r w:rsidR="00D06130">
        <w:rPr>
          <w:lang w:eastAsia="en-AU"/>
        </w:rPr>
        <w:t>to be provided to the Stakeholder Working Group</w:t>
      </w:r>
      <w:r w:rsidR="00F1795A" w:rsidRPr="00E87A99">
        <w:rPr>
          <w:lang w:eastAsia="en-AU"/>
        </w:rPr>
        <w:t xml:space="preserve">. </w:t>
      </w:r>
      <w:r w:rsidR="00D06130">
        <w:rPr>
          <w:lang w:eastAsia="en-AU"/>
        </w:rPr>
        <w:t>Information</w:t>
      </w:r>
      <w:r w:rsidR="00F1795A" w:rsidRPr="00E87A99">
        <w:rPr>
          <w:lang w:eastAsia="en-AU"/>
        </w:rPr>
        <w:t xml:space="preserve"> on </w:t>
      </w:r>
      <w:r w:rsidR="008271D9" w:rsidRPr="00E87A99">
        <w:rPr>
          <w:lang w:eastAsia="en-AU"/>
        </w:rPr>
        <w:t>how to participate in the Stakeholder Working Group</w:t>
      </w:r>
      <w:r w:rsidR="00EE3648" w:rsidRPr="00E87A99">
        <w:rPr>
          <w:lang w:eastAsia="en-AU"/>
        </w:rPr>
        <w:t xml:space="preserve"> are on the DITT website</w:t>
      </w:r>
      <w:r w:rsidR="008271D9" w:rsidRPr="00E87A99">
        <w:rPr>
          <w:lang w:eastAsia="en-AU"/>
        </w:rPr>
        <w:t>.</w:t>
      </w:r>
      <w:r w:rsidR="00EE3648" w:rsidRPr="00E87A99">
        <w:rPr>
          <w:rStyle w:val="FootnoteReference"/>
          <w:lang w:eastAsia="en-AU"/>
        </w:rPr>
        <w:footnoteReference w:id="17"/>
      </w:r>
    </w:p>
    <w:p w14:paraId="759FC09F" w14:textId="78924103" w:rsidR="00440A9A" w:rsidRPr="003F33DC" w:rsidRDefault="00465730" w:rsidP="00D27F0A">
      <w:pPr>
        <w:keepNext/>
        <w:rPr>
          <w:lang w:eastAsia="en-AU"/>
        </w:rPr>
      </w:pPr>
      <w:r w:rsidRPr="003F33DC">
        <w:rPr>
          <w:lang w:eastAsia="en-AU"/>
        </w:rPr>
        <w:t>Depending on the nature of f</w:t>
      </w:r>
      <w:r w:rsidR="00A7776F" w:rsidRPr="003F33DC">
        <w:rPr>
          <w:lang w:eastAsia="en-AU"/>
        </w:rPr>
        <w:t xml:space="preserve">eedback received, supplementary </w:t>
      </w:r>
      <w:r w:rsidR="00575F91">
        <w:rPr>
          <w:lang w:eastAsia="en-AU"/>
        </w:rPr>
        <w:t>targeted consultation</w:t>
      </w:r>
      <w:r w:rsidRPr="003F33DC">
        <w:rPr>
          <w:lang w:eastAsia="en-AU"/>
        </w:rPr>
        <w:t xml:space="preserve"> may be undertaken if necessary. The intention is to consider feedback</w:t>
      </w:r>
      <w:r w:rsidR="006D3B89" w:rsidRPr="003F33DC">
        <w:rPr>
          <w:lang w:eastAsia="en-AU"/>
        </w:rPr>
        <w:t xml:space="preserve"> to inform the finalisation of the</w:t>
      </w:r>
      <w:r w:rsidRPr="003F33DC">
        <w:rPr>
          <w:lang w:eastAsia="en-AU"/>
        </w:rPr>
        <w:t xml:space="preserve"> design of the capacity mechanism and publish a final review report </w:t>
      </w:r>
      <w:r w:rsidR="003665A6" w:rsidRPr="003F33DC">
        <w:rPr>
          <w:lang w:eastAsia="en-AU"/>
        </w:rPr>
        <w:t xml:space="preserve">in </w:t>
      </w:r>
      <w:r w:rsidR="00E34FA0" w:rsidRPr="003F33DC">
        <w:rPr>
          <w:lang w:eastAsia="en-AU"/>
        </w:rPr>
        <w:t>April 2021.</w:t>
      </w:r>
      <w:r w:rsidR="00302DF6" w:rsidRPr="003F33DC">
        <w:rPr>
          <w:lang w:eastAsia="en-AU"/>
        </w:rPr>
        <w:t xml:space="preserve"> </w:t>
      </w:r>
      <w:r w:rsidR="006D3B89" w:rsidRPr="003F33DC">
        <w:rPr>
          <w:lang w:eastAsia="en-AU"/>
        </w:rPr>
        <w:t>Following the publication of the final review report, work will commence on preparation of the legislative changes required to implement the NTEM Priority Reform Program reliability framework.</w:t>
      </w:r>
      <w:r w:rsidR="00CE2334" w:rsidRPr="003F33DC">
        <w:rPr>
          <w:lang w:eastAsia="en-AU"/>
        </w:rPr>
        <w:t xml:space="preserve"> Commencement timeframes will be determined through consultation (refer to section 7).</w:t>
      </w:r>
      <w:r w:rsidR="006D3B89" w:rsidRPr="003F33DC">
        <w:rPr>
          <w:lang w:eastAsia="en-AU"/>
        </w:rPr>
        <w:t xml:space="preserve"> The expected timeframes are set out </w:t>
      </w:r>
      <w:r w:rsidR="004E6421" w:rsidRPr="003F33DC">
        <w:rPr>
          <w:lang w:eastAsia="en-AU"/>
        </w:rPr>
        <w:t>in Table 3.</w:t>
      </w:r>
      <w:r w:rsidR="00440A9A" w:rsidRPr="003F33DC">
        <w:rPr>
          <w:lang w:eastAsia="en-AU"/>
        </w:rPr>
        <w:t xml:space="preserve"> </w:t>
      </w:r>
    </w:p>
    <w:p w14:paraId="537350CE" w14:textId="49121A2D" w:rsidR="004321A5" w:rsidRPr="003F33DC" w:rsidRDefault="004321A5" w:rsidP="004321A5">
      <w:pPr>
        <w:pStyle w:val="Caption"/>
        <w:keepNext/>
        <w:keepLines/>
        <w:rPr>
          <w:b/>
        </w:rPr>
      </w:pPr>
      <w:bookmarkStart w:id="28" w:name="_Ref48401914"/>
      <w:r w:rsidRPr="003F33DC">
        <w:rPr>
          <w:b/>
        </w:rPr>
        <w:t xml:space="preserve">Table </w:t>
      </w:r>
      <w:bookmarkEnd w:id="28"/>
      <w:r w:rsidR="004E6421" w:rsidRPr="003F33DC">
        <w:rPr>
          <w:b/>
        </w:rPr>
        <w:t>3</w:t>
      </w:r>
      <w:r w:rsidRPr="003F33DC">
        <w:rPr>
          <w:b/>
        </w:rPr>
        <w:t xml:space="preserve"> Timetable for legislative changes to implement </w:t>
      </w:r>
      <w:r w:rsidR="005E0CD1" w:rsidRPr="003F33DC">
        <w:rPr>
          <w:b/>
        </w:rPr>
        <w:t xml:space="preserve">the </w:t>
      </w:r>
      <w:r w:rsidRPr="003F33DC">
        <w:rPr>
          <w:b/>
        </w:rPr>
        <w:t xml:space="preserve">reliability framework </w:t>
      </w:r>
    </w:p>
    <w:tbl>
      <w:tblPr>
        <w:tblStyle w:val="NTGtable1"/>
        <w:tblW w:w="0" w:type="auto"/>
        <w:tblLook w:val="04A0" w:firstRow="1" w:lastRow="0" w:firstColumn="1" w:lastColumn="0" w:noHBand="0" w:noVBand="1"/>
      </w:tblPr>
      <w:tblGrid>
        <w:gridCol w:w="5524"/>
        <w:gridCol w:w="4784"/>
      </w:tblGrid>
      <w:tr w:rsidR="00440A9A" w:rsidRPr="003F33DC" w14:paraId="34194AB6" w14:textId="77777777" w:rsidTr="002C0B0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524" w:type="dxa"/>
          </w:tcPr>
          <w:p w14:paraId="0EBB320E" w14:textId="77777777" w:rsidR="00440A9A" w:rsidRPr="003F33DC" w:rsidRDefault="00440A9A" w:rsidP="00440A9A">
            <w:pPr>
              <w:rPr>
                <w:rFonts w:cs="Arial"/>
              </w:rPr>
            </w:pPr>
            <w:r w:rsidRPr="003F33DC">
              <w:rPr>
                <w:rFonts w:cs="Arial"/>
              </w:rPr>
              <w:t>Action</w:t>
            </w:r>
          </w:p>
        </w:tc>
        <w:tc>
          <w:tcPr>
            <w:tcW w:w="4784" w:type="dxa"/>
          </w:tcPr>
          <w:p w14:paraId="3E7BF2AA" w14:textId="77777777" w:rsidR="00440A9A" w:rsidRPr="003F33DC" w:rsidRDefault="00440A9A" w:rsidP="00440A9A">
            <w:pPr>
              <w:cnfStyle w:val="100000000000" w:firstRow="1" w:lastRow="0" w:firstColumn="0" w:lastColumn="0" w:oddVBand="0" w:evenVBand="0" w:oddHBand="0" w:evenHBand="0" w:firstRowFirstColumn="0" w:firstRowLastColumn="0" w:lastRowFirstColumn="0" w:lastRowLastColumn="0"/>
              <w:rPr>
                <w:rFonts w:cs="Arial"/>
              </w:rPr>
            </w:pPr>
            <w:r w:rsidRPr="003F33DC">
              <w:rPr>
                <w:rFonts w:cs="Arial"/>
              </w:rPr>
              <w:t>Expected timing</w:t>
            </w:r>
          </w:p>
        </w:tc>
      </w:tr>
      <w:tr w:rsidR="00CF34A2" w:rsidRPr="003F33DC" w14:paraId="7DC65BD8" w14:textId="77777777" w:rsidTr="00EE3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vAlign w:val="top"/>
          </w:tcPr>
          <w:p w14:paraId="77B85211" w14:textId="3312E234" w:rsidR="00CF34A2" w:rsidRPr="003F33DC" w:rsidRDefault="00CF34A2" w:rsidP="00A54E59">
            <w:pPr>
              <w:spacing w:before="60" w:after="60"/>
              <w:rPr>
                <w:rFonts w:cs="Arial"/>
              </w:rPr>
            </w:pPr>
            <w:r w:rsidRPr="003F33DC">
              <w:rPr>
                <w:rFonts w:cs="Arial"/>
              </w:rPr>
              <w:t>Stakeholder workshop to be held on this consultation paper</w:t>
            </w:r>
          </w:p>
        </w:tc>
        <w:tc>
          <w:tcPr>
            <w:tcW w:w="4784" w:type="dxa"/>
            <w:vAlign w:val="top"/>
          </w:tcPr>
          <w:p w14:paraId="75314238" w14:textId="72F98F9C" w:rsidR="00CF34A2" w:rsidRPr="003F33DC" w:rsidRDefault="00A63899" w:rsidP="00BD3AC6">
            <w:pPr>
              <w:spacing w:before="60" w:after="60"/>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Early </w:t>
            </w:r>
            <w:r w:rsidR="00E34FA0" w:rsidRPr="003F33DC">
              <w:rPr>
                <w:rFonts w:cs="Arial"/>
              </w:rPr>
              <w:t>February 2021</w:t>
            </w:r>
          </w:p>
        </w:tc>
      </w:tr>
      <w:tr w:rsidR="00440A9A" w:rsidRPr="003F33DC" w14:paraId="5402B737" w14:textId="77777777" w:rsidTr="00EE36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vAlign w:val="top"/>
          </w:tcPr>
          <w:p w14:paraId="304B612F" w14:textId="50AB83DB" w:rsidR="00440A9A" w:rsidRPr="003F33DC" w:rsidRDefault="00440A9A" w:rsidP="00A54E59">
            <w:pPr>
              <w:spacing w:before="60" w:after="60"/>
              <w:rPr>
                <w:rFonts w:cs="Arial"/>
              </w:rPr>
            </w:pPr>
            <w:r w:rsidRPr="003F33DC">
              <w:rPr>
                <w:rFonts w:cs="Arial"/>
              </w:rPr>
              <w:t>Publish</w:t>
            </w:r>
            <w:r w:rsidR="002B7606" w:rsidRPr="003F33DC">
              <w:rPr>
                <w:rFonts w:cs="Arial"/>
              </w:rPr>
              <w:t xml:space="preserve"> final</w:t>
            </w:r>
            <w:r w:rsidRPr="003F33DC">
              <w:rPr>
                <w:rFonts w:cs="Arial"/>
              </w:rPr>
              <w:t xml:space="preserve"> review report setting out </w:t>
            </w:r>
            <w:r w:rsidR="002B7606" w:rsidRPr="003F33DC">
              <w:rPr>
                <w:rFonts w:cs="Arial"/>
              </w:rPr>
              <w:t xml:space="preserve">detailed </w:t>
            </w:r>
            <w:r w:rsidRPr="003F33DC">
              <w:rPr>
                <w:rFonts w:cs="Arial"/>
              </w:rPr>
              <w:t>policy position</w:t>
            </w:r>
            <w:r w:rsidR="002B7606" w:rsidRPr="003F33DC">
              <w:rPr>
                <w:rFonts w:cs="Arial"/>
              </w:rPr>
              <w:t>s</w:t>
            </w:r>
            <w:r w:rsidRPr="003F33DC">
              <w:rPr>
                <w:rFonts w:cs="Arial"/>
              </w:rPr>
              <w:t xml:space="preserve"> </w:t>
            </w:r>
          </w:p>
        </w:tc>
        <w:tc>
          <w:tcPr>
            <w:tcW w:w="4784" w:type="dxa"/>
            <w:vAlign w:val="top"/>
          </w:tcPr>
          <w:p w14:paraId="56DC1446" w14:textId="2EAE4BAA" w:rsidR="00440A9A" w:rsidRPr="003F33DC" w:rsidRDefault="00E34FA0" w:rsidP="00440A9A">
            <w:pPr>
              <w:spacing w:before="60" w:after="60"/>
              <w:cnfStyle w:val="000000010000" w:firstRow="0" w:lastRow="0" w:firstColumn="0" w:lastColumn="0" w:oddVBand="0" w:evenVBand="0" w:oddHBand="0" w:evenHBand="1" w:firstRowFirstColumn="0" w:firstRowLastColumn="0" w:lastRowFirstColumn="0" w:lastRowLastColumn="0"/>
              <w:rPr>
                <w:rFonts w:cs="Arial"/>
              </w:rPr>
            </w:pPr>
            <w:r w:rsidRPr="003F33DC">
              <w:rPr>
                <w:rFonts w:cs="Arial"/>
              </w:rPr>
              <w:t>April 2021</w:t>
            </w:r>
          </w:p>
        </w:tc>
      </w:tr>
      <w:tr w:rsidR="002B7606" w:rsidRPr="003F33DC" w14:paraId="07980795" w14:textId="77777777" w:rsidTr="00EE3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vAlign w:val="top"/>
          </w:tcPr>
          <w:p w14:paraId="073BA781" w14:textId="60FC8E3F" w:rsidR="002B7606" w:rsidRPr="003F33DC" w:rsidRDefault="002B7606" w:rsidP="00A54E59">
            <w:pPr>
              <w:spacing w:before="60" w:after="60"/>
              <w:rPr>
                <w:rFonts w:cs="Arial"/>
              </w:rPr>
            </w:pPr>
            <w:r w:rsidRPr="003F33DC">
              <w:rPr>
                <w:rFonts w:cs="Arial"/>
              </w:rPr>
              <w:t>Implementation of legislative and regulatory changes</w:t>
            </w:r>
          </w:p>
        </w:tc>
        <w:tc>
          <w:tcPr>
            <w:tcW w:w="4784" w:type="dxa"/>
            <w:vAlign w:val="top"/>
          </w:tcPr>
          <w:p w14:paraId="1695B045" w14:textId="1BBA2D5B" w:rsidR="002B7606" w:rsidRPr="003F33DC" w:rsidRDefault="002B7606" w:rsidP="002B7606">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3F33DC">
              <w:rPr>
                <w:rFonts w:cs="Arial"/>
              </w:rPr>
              <w:t>Late 2021</w:t>
            </w:r>
          </w:p>
        </w:tc>
      </w:tr>
      <w:tr w:rsidR="002B7606" w:rsidRPr="003F33DC" w14:paraId="7A513BAB" w14:textId="77777777" w:rsidTr="00EE36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vAlign w:val="top"/>
          </w:tcPr>
          <w:p w14:paraId="6E67A1AA" w14:textId="506ACC02" w:rsidR="002B7606" w:rsidRPr="003F33DC" w:rsidRDefault="002B7606" w:rsidP="002B7606">
            <w:pPr>
              <w:spacing w:before="60" w:after="60"/>
              <w:rPr>
                <w:rFonts w:cs="Arial"/>
              </w:rPr>
            </w:pPr>
            <w:r w:rsidRPr="003F33DC">
              <w:rPr>
                <w:rFonts w:cs="Arial"/>
              </w:rPr>
              <w:t>Implementation of required procedures and systems</w:t>
            </w:r>
          </w:p>
        </w:tc>
        <w:tc>
          <w:tcPr>
            <w:tcW w:w="4784" w:type="dxa"/>
            <w:vAlign w:val="top"/>
          </w:tcPr>
          <w:p w14:paraId="18B1DBFD" w14:textId="2C213B4D" w:rsidR="002B7606" w:rsidRPr="003F33DC" w:rsidDel="00E70F6A" w:rsidRDefault="002B7606" w:rsidP="002B7606">
            <w:pPr>
              <w:spacing w:before="60" w:after="60"/>
              <w:cnfStyle w:val="000000010000" w:firstRow="0" w:lastRow="0" w:firstColumn="0" w:lastColumn="0" w:oddVBand="0" w:evenVBand="0" w:oddHBand="0" w:evenHBand="1" w:firstRowFirstColumn="0" w:firstRowLastColumn="0" w:lastRowFirstColumn="0" w:lastRowLastColumn="0"/>
              <w:rPr>
                <w:rFonts w:cs="Arial"/>
              </w:rPr>
            </w:pPr>
            <w:r w:rsidRPr="003F33DC">
              <w:rPr>
                <w:rFonts w:cs="Arial"/>
              </w:rPr>
              <w:t>To be determined through consultation</w:t>
            </w:r>
          </w:p>
        </w:tc>
      </w:tr>
      <w:tr w:rsidR="002B7606" w:rsidRPr="003F33DC" w14:paraId="7EDF1AA3" w14:textId="77777777" w:rsidTr="00EE3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vAlign w:val="top"/>
          </w:tcPr>
          <w:p w14:paraId="196B0942" w14:textId="11ECB2E5" w:rsidR="002B7606" w:rsidRPr="003F33DC" w:rsidRDefault="002B7606" w:rsidP="002B7606">
            <w:pPr>
              <w:spacing w:before="60" w:after="60"/>
              <w:rPr>
                <w:rFonts w:cs="Arial"/>
              </w:rPr>
            </w:pPr>
            <w:r w:rsidRPr="003F33DC">
              <w:rPr>
                <w:rFonts w:cs="Arial"/>
              </w:rPr>
              <w:t>Commencement of reliability changes</w:t>
            </w:r>
          </w:p>
        </w:tc>
        <w:tc>
          <w:tcPr>
            <w:tcW w:w="4784" w:type="dxa"/>
            <w:vAlign w:val="top"/>
          </w:tcPr>
          <w:p w14:paraId="3A4EDF73" w14:textId="4097BE54" w:rsidR="002B7606" w:rsidRPr="003F33DC" w:rsidDel="00E70F6A" w:rsidRDefault="002B7606" w:rsidP="002B7606">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3F33DC">
              <w:rPr>
                <w:rFonts w:cs="Arial"/>
              </w:rPr>
              <w:t>To be determined through consultation</w:t>
            </w:r>
          </w:p>
        </w:tc>
      </w:tr>
    </w:tbl>
    <w:p w14:paraId="6FB606DF" w14:textId="77777777" w:rsidR="002A17A1" w:rsidRPr="003F33DC" w:rsidRDefault="002A17A1" w:rsidP="002A17A1">
      <w:pPr>
        <w:pStyle w:val="Heading1"/>
        <w:rPr>
          <w:lang w:eastAsia="en-AU"/>
        </w:rPr>
      </w:pPr>
      <w:bookmarkStart w:id="29" w:name="_Toc59188481"/>
      <w:r w:rsidRPr="003F33DC">
        <w:rPr>
          <w:lang w:eastAsia="en-AU"/>
        </w:rPr>
        <w:t>Making a submission</w:t>
      </w:r>
      <w:bookmarkEnd w:id="29"/>
    </w:p>
    <w:p w14:paraId="35329266" w14:textId="096DDE06" w:rsidR="002A17A1" w:rsidRPr="003F33DC" w:rsidRDefault="002A17A1" w:rsidP="002A17A1">
      <w:pPr>
        <w:rPr>
          <w:lang w:eastAsia="en-AU"/>
        </w:rPr>
      </w:pPr>
      <w:r w:rsidRPr="003F33DC">
        <w:rPr>
          <w:lang w:eastAsia="en-AU"/>
        </w:rPr>
        <w:t xml:space="preserve">Interested parties are invited to email submissions on this consultation paper to the Design Development Team at </w:t>
      </w:r>
      <w:hyperlink r:id="rId22" w:history="1">
        <w:r w:rsidRPr="003F33DC">
          <w:rPr>
            <w:rStyle w:val="Hyperlink"/>
            <w:lang w:eastAsia="en-AU"/>
          </w:rPr>
          <w:t>electricityreform@nt.gov.au</w:t>
        </w:r>
      </w:hyperlink>
      <w:r w:rsidRPr="003F33DC">
        <w:rPr>
          <w:lang w:eastAsia="en-AU"/>
        </w:rPr>
        <w:t xml:space="preserve"> by </w:t>
      </w:r>
      <w:r w:rsidR="00F1795A" w:rsidRPr="003F33DC">
        <w:rPr>
          <w:b/>
          <w:lang w:eastAsia="en-AU"/>
        </w:rPr>
        <w:t xml:space="preserve">Close of Business </w:t>
      </w:r>
      <w:r w:rsidR="00E87A99" w:rsidRPr="003F33DC">
        <w:rPr>
          <w:b/>
          <w:lang w:eastAsia="en-AU"/>
        </w:rPr>
        <w:t xml:space="preserve">Friday </w:t>
      </w:r>
      <w:r w:rsidR="003665A6" w:rsidRPr="003F33DC">
        <w:rPr>
          <w:b/>
          <w:lang w:eastAsia="en-AU"/>
        </w:rPr>
        <w:t xml:space="preserve">12 </w:t>
      </w:r>
      <w:r w:rsidR="00F1795A" w:rsidRPr="003F33DC">
        <w:rPr>
          <w:b/>
          <w:lang w:eastAsia="en-AU"/>
        </w:rPr>
        <w:t>March 2021.</w:t>
      </w:r>
      <w:r w:rsidR="00FC3F0E" w:rsidRPr="003F33DC">
        <w:rPr>
          <w:b/>
          <w:lang w:eastAsia="en-AU"/>
        </w:rPr>
        <w:t xml:space="preserve"> </w:t>
      </w:r>
    </w:p>
    <w:p w14:paraId="7027106B" w14:textId="77777777" w:rsidR="002A17A1" w:rsidRDefault="002A17A1" w:rsidP="002A17A1">
      <w:pPr>
        <w:rPr>
          <w:lang w:eastAsia="en-AU"/>
        </w:rPr>
      </w:pPr>
      <w:r w:rsidRPr="003F33DC">
        <w:rPr>
          <w:lang w:eastAsia="en-AU"/>
        </w:rPr>
        <w:t>Submissions should be provided in Adobe Acrobat or Microsoft Word format. On receipt of a submission a confirmation of receipt email will be provided, however, it is the submitter’s responsibility to ensure successful delivery of their submission.</w:t>
      </w:r>
    </w:p>
    <w:p w14:paraId="1811AF60" w14:textId="16474A9B" w:rsidR="002A17A1" w:rsidRDefault="002A17A1" w:rsidP="002A17A1">
      <w:pPr>
        <w:rPr>
          <w:lang w:eastAsia="en-AU"/>
        </w:rPr>
      </w:pPr>
      <w:r>
        <w:rPr>
          <w:lang w:eastAsia="en-AU"/>
        </w:rPr>
        <w:t>The Design Development Team will publish submissions. Public submissions are preferred, however, if the submitter includes confidential information, it must be clearly identified and a version of the submission suitable for publication with confiden</w:t>
      </w:r>
      <w:r w:rsidR="00EE3648">
        <w:rPr>
          <w:lang w:eastAsia="en-AU"/>
        </w:rPr>
        <w:t xml:space="preserve">tial information removed should </w:t>
      </w:r>
      <w:r>
        <w:rPr>
          <w:lang w:eastAsia="en-AU"/>
        </w:rPr>
        <w:t>also be provided.</w:t>
      </w:r>
      <w:r w:rsidR="00EE3648">
        <w:rPr>
          <w:lang w:eastAsia="en-AU"/>
        </w:rPr>
        <w:t xml:space="preserve"> </w:t>
      </w:r>
      <w:r>
        <w:rPr>
          <w:lang w:eastAsia="en-AU"/>
        </w:rPr>
        <w:t>The Design Development Team may also exercise its discretion not to publish any submission based on content, such as submissions containing material that is offensive of defamatory.</w:t>
      </w:r>
    </w:p>
    <w:p w14:paraId="16A2FE72" w14:textId="79AA4078" w:rsidR="00E87A99" w:rsidRDefault="002A17A1">
      <w:r>
        <w:rPr>
          <w:lang w:eastAsia="en-AU"/>
        </w:rPr>
        <w:t xml:space="preserve">Please contact the Design Development Team regarding any questions on the consultation by emailing </w:t>
      </w:r>
      <w:hyperlink r:id="rId23" w:history="1">
        <w:r w:rsidR="00386C8F" w:rsidRPr="00E40E36">
          <w:rPr>
            <w:rStyle w:val="Hyperlink"/>
            <w:lang w:eastAsia="en-AU"/>
          </w:rPr>
          <w:t>electricityreform@nt.gov.au</w:t>
        </w:r>
      </w:hyperlink>
      <w:r w:rsidRPr="009A4556">
        <w:t xml:space="preserve">. </w:t>
      </w:r>
      <w:bookmarkStart w:id="30" w:name="_Toc59188482"/>
    </w:p>
    <w:p w14:paraId="13782B8A" w14:textId="59F20D22" w:rsidR="00AA22FA" w:rsidRDefault="00AA22FA">
      <w:r>
        <w:br w:type="page"/>
      </w:r>
    </w:p>
    <w:p w14:paraId="180F81CB" w14:textId="3C9B2606" w:rsidR="00C85215" w:rsidRPr="002C0B0F" w:rsidRDefault="00C85215" w:rsidP="002C0B0F">
      <w:pPr>
        <w:pStyle w:val="Heading1"/>
        <w:numPr>
          <w:ilvl w:val="0"/>
          <w:numId w:val="0"/>
        </w:numPr>
        <w:ind w:left="2272" w:hanging="2272"/>
      </w:pPr>
      <w:r w:rsidRPr="002C0B0F">
        <w:lastRenderedPageBreak/>
        <w:t>Appendix A:</w:t>
      </w:r>
      <w:r w:rsidRPr="002C0B0F">
        <w:tab/>
        <w:t>Illustrative overview of capacity mechanism: Contractual arrangements and cash flows</w:t>
      </w:r>
      <w:bookmarkEnd w:id="30"/>
    </w:p>
    <w:p w14:paraId="29A3EA0C" w14:textId="6C4FD7CA" w:rsidR="00FC3F0E" w:rsidRDefault="00853ABF" w:rsidP="008722C4">
      <w:pPr>
        <w:spacing w:before="240" w:after="120"/>
        <w:rPr>
          <w:lang w:eastAsia="en-AU"/>
        </w:rPr>
      </w:pPr>
      <w:r>
        <w:rPr>
          <w:lang w:eastAsia="en-AU"/>
        </w:rPr>
        <w:t xml:space="preserve">The </w:t>
      </w:r>
      <w:r w:rsidR="00F1795A">
        <w:rPr>
          <w:lang w:eastAsia="en-AU"/>
        </w:rPr>
        <w:t xml:space="preserve">figures </w:t>
      </w:r>
      <w:r>
        <w:rPr>
          <w:lang w:eastAsia="en-AU"/>
        </w:rPr>
        <w:t xml:space="preserve">below provide </w:t>
      </w:r>
      <w:r w:rsidRPr="00853ABF">
        <w:rPr>
          <w:lang w:eastAsia="en-AU"/>
        </w:rPr>
        <w:t xml:space="preserve">a diagrammatic summary of </w:t>
      </w:r>
      <w:r>
        <w:rPr>
          <w:lang w:eastAsia="en-AU"/>
        </w:rPr>
        <w:t xml:space="preserve">the proposed capacity mechanism, with a focus on illustrating the </w:t>
      </w:r>
      <w:r w:rsidRPr="00853ABF">
        <w:rPr>
          <w:lang w:eastAsia="en-AU"/>
        </w:rPr>
        <w:t xml:space="preserve">contracting and cash flow relationships between relevant parties. </w:t>
      </w:r>
    </w:p>
    <w:p w14:paraId="199BF62E" w14:textId="77777777" w:rsidR="00F1795A" w:rsidRDefault="004E08B3" w:rsidP="00F1795A">
      <w:pPr>
        <w:spacing w:before="200" w:after="240"/>
        <w:rPr>
          <w:b/>
        </w:rPr>
      </w:pPr>
      <w:r>
        <w:rPr>
          <w:b/>
        </w:rPr>
        <w:t>Figure</w:t>
      </w:r>
      <w:r w:rsidRPr="000A5EDE">
        <w:rPr>
          <w:b/>
        </w:rPr>
        <w:t xml:space="preserve"> </w:t>
      </w:r>
      <w:r>
        <w:rPr>
          <w:b/>
        </w:rPr>
        <w:t>A1 Contractual arrangements and cash flows – capacity and energy</w:t>
      </w:r>
    </w:p>
    <w:p w14:paraId="77C24353" w14:textId="69CA86A2" w:rsidR="004E08B3" w:rsidRDefault="00F1795A" w:rsidP="00F1795A">
      <w:pPr>
        <w:spacing w:before="200" w:after="240"/>
        <w:rPr>
          <w:lang w:eastAsia="en-AU"/>
        </w:rPr>
      </w:pPr>
      <w:r w:rsidRPr="00EA1E27">
        <w:rPr>
          <w:noProof/>
          <w:lang w:eastAsia="en-AU"/>
        </w:rPr>
        <w:drawing>
          <wp:inline distT="0" distB="0" distL="0" distR="0" wp14:anchorId="2A1D8EFB" wp14:editId="02C8B2A8">
            <wp:extent cx="6551930" cy="4276090"/>
            <wp:effectExtent l="0" t="0" r="1270" b="0"/>
            <wp:docPr id="3" name="Picture 2" descr="For description email electricyreform@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6551930" cy="4276090"/>
                    </a:xfrm>
                    <a:prstGeom prst="rect">
                      <a:avLst/>
                    </a:prstGeom>
                  </pic:spPr>
                </pic:pic>
              </a:graphicData>
            </a:graphic>
          </wp:inline>
        </w:drawing>
      </w:r>
    </w:p>
    <w:p w14:paraId="0B7FE089" w14:textId="4722C04E" w:rsidR="00853ABF" w:rsidRPr="00853ABF" w:rsidRDefault="004E08B3" w:rsidP="00F1795A">
      <w:pPr>
        <w:rPr>
          <w:lang w:eastAsia="en-AU"/>
        </w:rPr>
      </w:pPr>
      <w:r>
        <w:rPr>
          <w:lang w:eastAsia="en-AU"/>
        </w:rPr>
        <w:t xml:space="preserve">In addition to capacity contractual arrangements and cash flows, </w:t>
      </w:r>
      <w:r w:rsidR="00F1795A">
        <w:rPr>
          <w:lang w:eastAsia="en-AU"/>
        </w:rPr>
        <w:t xml:space="preserve">Figure </w:t>
      </w:r>
      <w:r>
        <w:rPr>
          <w:lang w:eastAsia="en-AU"/>
        </w:rPr>
        <w:t>A1</w:t>
      </w:r>
      <w:r w:rsidR="00853ABF" w:rsidRPr="00853ABF">
        <w:rPr>
          <w:lang w:eastAsia="en-AU"/>
        </w:rPr>
        <w:t xml:space="preserve"> also illustrates </w:t>
      </w:r>
      <w:r>
        <w:rPr>
          <w:lang w:eastAsia="en-AU"/>
        </w:rPr>
        <w:t xml:space="preserve">energy settlement </w:t>
      </w:r>
      <w:r w:rsidRPr="00E87A99">
        <w:rPr>
          <w:lang w:eastAsia="en-AU"/>
        </w:rPr>
        <w:t xml:space="preserve">arrangements, </w:t>
      </w:r>
      <w:r w:rsidR="00853ABF" w:rsidRPr="00E87A99">
        <w:rPr>
          <w:lang w:eastAsia="en-AU"/>
        </w:rPr>
        <w:t>being bilateral contracts</w:t>
      </w:r>
      <w:r w:rsidRPr="00E87A99">
        <w:rPr>
          <w:lang w:eastAsia="en-AU"/>
        </w:rPr>
        <w:t xml:space="preserve"> for energy</w:t>
      </w:r>
      <w:r w:rsidR="00853ABF" w:rsidRPr="00E87A99">
        <w:rPr>
          <w:lang w:eastAsia="en-AU"/>
        </w:rPr>
        <w:t xml:space="preserve"> and associated cash flows, and </w:t>
      </w:r>
      <w:r w:rsidRPr="00E87A99">
        <w:rPr>
          <w:lang w:eastAsia="en-AU"/>
        </w:rPr>
        <w:t xml:space="preserve">cash flows for settlement of </w:t>
      </w:r>
      <w:r w:rsidR="00853ABF" w:rsidRPr="00E87A99">
        <w:rPr>
          <w:lang w:eastAsia="en-AU"/>
        </w:rPr>
        <w:t>out</w:t>
      </w:r>
      <w:r w:rsidR="00E34FA0" w:rsidRPr="00E87A99">
        <w:rPr>
          <w:lang w:eastAsia="en-AU"/>
        </w:rPr>
        <w:t>-</w:t>
      </w:r>
      <w:r w:rsidR="00853ABF" w:rsidRPr="00E87A99">
        <w:rPr>
          <w:lang w:eastAsia="en-AU"/>
        </w:rPr>
        <w:t>of</w:t>
      </w:r>
      <w:r w:rsidR="00E34FA0" w:rsidRPr="00E87A99">
        <w:rPr>
          <w:lang w:eastAsia="en-AU"/>
        </w:rPr>
        <w:t>-</w:t>
      </w:r>
      <w:r w:rsidR="00853ABF" w:rsidRPr="00E87A99">
        <w:rPr>
          <w:lang w:eastAsia="en-AU"/>
        </w:rPr>
        <w:t>balance energy</w:t>
      </w:r>
      <w:r w:rsidRPr="00E87A99">
        <w:rPr>
          <w:lang w:eastAsia="en-AU"/>
        </w:rPr>
        <w:t>. Note that for simpli</w:t>
      </w:r>
      <w:r w:rsidR="009B6777" w:rsidRPr="00E87A99">
        <w:rPr>
          <w:lang w:eastAsia="en-AU"/>
        </w:rPr>
        <w:t>city</w:t>
      </w:r>
      <w:r w:rsidRPr="00E87A99">
        <w:rPr>
          <w:lang w:eastAsia="en-AU"/>
        </w:rPr>
        <w:t xml:space="preserve">, cash flows associated with settlement of </w:t>
      </w:r>
      <w:proofErr w:type="spellStart"/>
      <w:r w:rsidRPr="00E87A99">
        <w:rPr>
          <w:lang w:eastAsia="en-AU"/>
        </w:rPr>
        <w:t>startup</w:t>
      </w:r>
      <w:proofErr w:type="spellEnd"/>
      <w:r w:rsidRPr="00E87A99">
        <w:rPr>
          <w:lang w:eastAsia="en-AU"/>
        </w:rPr>
        <w:t>/shutdown cycle costs are not shown</w:t>
      </w:r>
      <w:r w:rsidR="00F1795A" w:rsidRPr="00E87A99">
        <w:rPr>
          <w:lang w:eastAsia="en-AU"/>
        </w:rPr>
        <w:t>.</w:t>
      </w:r>
      <w:r w:rsidR="00F1795A" w:rsidRPr="00E87A99">
        <w:rPr>
          <w:rStyle w:val="FootnoteReference"/>
          <w:lang w:eastAsia="en-AU"/>
        </w:rPr>
        <w:footnoteReference w:id="18"/>
      </w:r>
    </w:p>
    <w:p w14:paraId="43D5A2BD" w14:textId="3E928149" w:rsidR="00853ABF" w:rsidRPr="00853ABF" w:rsidRDefault="00F1795A" w:rsidP="00853ABF">
      <w:pPr>
        <w:rPr>
          <w:lang w:eastAsia="en-AU"/>
        </w:rPr>
      </w:pPr>
      <w:r>
        <w:rPr>
          <w:lang w:eastAsia="en-AU"/>
        </w:rPr>
        <w:t>This is a</w:t>
      </w:r>
      <w:r w:rsidR="00853ABF" w:rsidRPr="00853ABF">
        <w:rPr>
          <w:lang w:eastAsia="en-AU"/>
        </w:rPr>
        <w:t xml:space="preserve"> simplified example, with a hypothetical market with two retailers. Retailer</w:t>
      </w:r>
      <w:r>
        <w:rPr>
          <w:lang w:eastAsia="en-AU"/>
        </w:rPr>
        <w:t>s</w:t>
      </w:r>
      <w:r w:rsidR="00853ABF" w:rsidRPr="00853ABF">
        <w:rPr>
          <w:lang w:eastAsia="en-AU"/>
        </w:rPr>
        <w:t xml:space="preserve"> A and B both bilateral contracts for energy and capacity (often using the same providers for both). The capacity obligation of each retailer is based on their share of demand. The Reliability Manager has partially acquired Retailer B’s capacity obligation. This could be because Retailer B requested that the Reliability Manager partially acquire capacity on its behalf, or because when Retailer B presented evidence of procured capacity, there was a shortfall requiring the Reliability Manager to step in and acquire capacity. </w:t>
      </w:r>
      <w:r w:rsidR="005200C4">
        <w:rPr>
          <w:lang w:eastAsia="en-AU"/>
        </w:rPr>
        <w:t xml:space="preserve">A retailer could also request the Reliability Manager to contract for all of its obligation, although this is not the case in this example. </w:t>
      </w:r>
      <w:r w:rsidR="00853ABF" w:rsidRPr="00853ABF">
        <w:rPr>
          <w:lang w:eastAsia="en-AU"/>
        </w:rPr>
        <w:t xml:space="preserve">Noting the Reliability Manager may acquire capacity through a range of means, this </w:t>
      </w:r>
      <w:r w:rsidR="00EA0FB5">
        <w:rPr>
          <w:lang w:eastAsia="en-AU"/>
        </w:rPr>
        <w:t>figure</w:t>
      </w:r>
      <w:r w:rsidR="00853ABF" w:rsidRPr="00853ABF">
        <w:rPr>
          <w:lang w:eastAsia="en-AU"/>
        </w:rPr>
        <w:t xml:space="preserve"> shows </w:t>
      </w:r>
      <w:r w:rsidR="004E08B3">
        <w:rPr>
          <w:lang w:eastAsia="en-AU"/>
        </w:rPr>
        <w:t xml:space="preserve">a </w:t>
      </w:r>
      <w:r w:rsidR="00853ABF" w:rsidRPr="00853ABF">
        <w:rPr>
          <w:lang w:eastAsia="en-AU"/>
        </w:rPr>
        <w:t xml:space="preserve">bilateral contract and </w:t>
      </w:r>
      <w:r w:rsidR="004E08B3">
        <w:rPr>
          <w:lang w:eastAsia="en-AU"/>
        </w:rPr>
        <w:t>associate</w:t>
      </w:r>
      <w:r w:rsidR="000276B0">
        <w:rPr>
          <w:lang w:eastAsia="en-AU"/>
        </w:rPr>
        <w:t>d</w:t>
      </w:r>
      <w:r w:rsidR="004E08B3">
        <w:rPr>
          <w:lang w:eastAsia="en-AU"/>
        </w:rPr>
        <w:t xml:space="preserve"> </w:t>
      </w:r>
      <w:r w:rsidR="00853ABF" w:rsidRPr="00853ABF">
        <w:rPr>
          <w:lang w:eastAsia="en-AU"/>
        </w:rPr>
        <w:t xml:space="preserve">cash flows. </w:t>
      </w:r>
    </w:p>
    <w:p w14:paraId="75D1049F" w14:textId="65511E4D" w:rsidR="00853ABF" w:rsidRPr="00853ABF" w:rsidRDefault="00853ABF" w:rsidP="00853ABF">
      <w:pPr>
        <w:rPr>
          <w:lang w:eastAsia="en-AU"/>
        </w:rPr>
      </w:pPr>
      <w:r w:rsidRPr="00853ABF">
        <w:rPr>
          <w:lang w:eastAsia="en-AU"/>
        </w:rPr>
        <w:lastRenderedPageBreak/>
        <w:t>At the end of each capacity year, the ex-post review of the adequacy of the amount of capacity each retailer presented to the market, may result in ex-post trading between Retailer A and</w:t>
      </w:r>
      <w:r w:rsidR="004E08B3">
        <w:rPr>
          <w:lang w:eastAsia="en-AU"/>
        </w:rPr>
        <w:t xml:space="preserve"> B. While not shown in </w:t>
      </w:r>
      <w:r w:rsidR="00EA0FB5">
        <w:rPr>
          <w:lang w:eastAsia="en-AU"/>
        </w:rPr>
        <w:t>Figure</w:t>
      </w:r>
      <w:r w:rsidR="004E08B3">
        <w:rPr>
          <w:lang w:eastAsia="en-AU"/>
        </w:rPr>
        <w:t xml:space="preserve"> A1 for simplicity</w:t>
      </w:r>
      <w:r w:rsidRPr="00853ABF">
        <w:rPr>
          <w:lang w:eastAsia="en-AU"/>
        </w:rPr>
        <w:t>, in the event there is a net deficit where retailers, in aggregate, do not procure sufficient capacity, there may also be a payment (cash flow) from retailers to the Reliability Manager.</w:t>
      </w:r>
    </w:p>
    <w:p w14:paraId="6EC68C67" w14:textId="51B69D59" w:rsidR="004E08B3" w:rsidRDefault="00853ABF" w:rsidP="00853ABF">
      <w:pPr>
        <w:rPr>
          <w:lang w:eastAsia="en-AU"/>
        </w:rPr>
      </w:pPr>
      <w:r w:rsidRPr="00853ABF">
        <w:rPr>
          <w:lang w:eastAsia="en-AU"/>
        </w:rPr>
        <w:t>Throughout each capacity year, capacity providers may receive and pay capacity out</w:t>
      </w:r>
      <w:r w:rsidR="00E34FA0">
        <w:rPr>
          <w:lang w:eastAsia="en-AU"/>
        </w:rPr>
        <w:t>-</w:t>
      </w:r>
      <w:r w:rsidRPr="00853ABF">
        <w:rPr>
          <w:lang w:eastAsia="en-AU"/>
        </w:rPr>
        <w:t>of</w:t>
      </w:r>
      <w:r w:rsidR="00E34FA0">
        <w:rPr>
          <w:lang w:eastAsia="en-AU"/>
        </w:rPr>
        <w:t>-</w:t>
      </w:r>
      <w:r w:rsidRPr="00853ABF">
        <w:rPr>
          <w:lang w:eastAsia="en-AU"/>
        </w:rPr>
        <w:t xml:space="preserve">balance reflecting that from time to time they may present more or less capacity than expected, such as due to unplanned maintenance/breakdown (with the rate to depend on level of reserve at the time). </w:t>
      </w:r>
    </w:p>
    <w:p w14:paraId="15711362" w14:textId="74A95D5D" w:rsidR="004E08B3" w:rsidRDefault="00EA0FB5" w:rsidP="00E1513C">
      <w:pPr>
        <w:spacing w:before="200" w:after="120"/>
        <w:rPr>
          <w:lang w:eastAsia="en-AU"/>
        </w:rPr>
      </w:pPr>
      <w:r>
        <w:rPr>
          <w:lang w:eastAsia="en-AU"/>
        </w:rPr>
        <w:t>Figure</w:t>
      </w:r>
      <w:r w:rsidR="004E08B3">
        <w:rPr>
          <w:lang w:eastAsia="en-AU"/>
        </w:rPr>
        <w:t xml:space="preserve"> A2 shows contractual arrangements and cash flows for the capacity mechanism only (and ‘greys out’ arrangements for energy</w:t>
      </w:r>
      <w:r w:rsidR="005200C4">
        <w:rPr>
          <w:lang w:eastAsia="en-AU"/>
        </w:rPr>
        <w:t>)</w:t>
      </w:r>
      <w:r w:rsidR="004E08B3">
        <w:rPr>
          <w:lang w:eastAsia="en-AU"/>
        </w:rPr>
        <w:t xml:space="preserve">. Similarly, </w:t>
      </w:r>
      <w:r w:rsidR="00F1795A">
        <w:rPr>
          <w:lang w:eastAsia="en-AU"/>
        </w:rPr>
        <w:t>Figure</w:t>
      </w:r>
      <w:r w:rsidR="004E08B3">
        <w:rPr>
          <w:lang w:eastAsia="en-AU"/>
        </w:rPr>
        <w:t xml:space="preserve"> A3 shows contractual arrangements and cash flows for </w:t>
      </w:r>
      <w:r w:rsidR="0017164B">
        <w:rPr>
          <w:lang w:eastAsia="en-AU"/>
        </w:rPr>
        <w:t xml:space="preserve">only </w:t>
      </w:r>
      <w:r w:rsidR="004E08B3">
        <w:rPr>
          <w:lang w:eastAsia="en-AU"/>
        </w:rPr>
        <w:t>energy settlement</w:t>
      </w:r>
      <w:r w:rsidR="00825ABD">
        <w:rPr>
          <w:lang w:eastAsia="en-AU"/>
        </w:rPr>
        <w:t xml:space="preserve"> (noting that </w:t>
      </w:r>
      <w:proofErr w:type="spellStart"/>
      <w:r w:rsidR="00825ABD">
        <w:rPr>
          <w:lang w:eastAsia="en-AU"/>
        </w:rPr>
        <w:t>startup</w:t>
      </w:r>
      <w:proofErr w:type="spellEnd"/>
      <w:r w:rsidR="00825ABD">
        <w:rPr>
          <w:lang w:eastAsia="en-AU"/>
        </w:rPr>
        <w:t>/shutdown cycle cost settlement cash flows are not shown).</w:t>
      </w:r>
    </w:p>
    <w:p w14:paraId="58233EA8" w14:textId="377FE8FA" w:rsidR="00E1513C" w:rsidRDefault="00E1513C" w:rsidP="00E1513C">
      <w:pPr>
        <w:spacing w:before="200"/>
        <w:rPr>
          <w:lang w:eastAsia="en-AU"/>
        </w:rPr>
      </w:pPr>
      <w:r>
        <w:rPr>
          <w:b/>
        </w:rPr>
        <w:t>Figure</w:t>
      </w:r>
      <w:r w:rsidRPr="000A5EDE">
        <w:rPr>
          <w:b/>
        </w:rPr>
        <w:t xml:space="preserve"> </w:t>
      </w:r>
      <w:r>
        <w:rPr>
          <w:b/>
        </w:rPr>
        <w:t>A2 Contractual arrangements and cash flows – capacity only</w:t>
      </w:r>
    </w:p>
    <w:p w14:paraId="6EAB5167" w14:textId="3D0F8471" w:rsidR="00853ABF" w:rsidRPr="00853ABF" w:rsidRDefault="00EA1E27" w:rsidP="00853ABF">
      <w:pPr>
        <w:rPr>
          <w:lang w:eastAsia="en-AU"/>
        </w:rPr>
      </w:pPr>
      <w:r w:rsidRPr="00EA1E27">
        <w:rPr>
          <w:noProof/>
          <w:lang w:eastAsia="en-AU"/>
        </w:rPr>
        <w:drawing>
          <wp:inline distT="0" distB="0" distL="0" distR="0" wp14:anchorId="1758B600" wp14:editId="7359E63B">
            <wp:extent cx="5266509" cy="2920621"/>
            <wp:effectExtent l="0" t="0" r="0" b="0"/>
            <wp:docPr id="2" name="Picture 1" descr="For description email electricyreform@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5305265" cy="2942114"/>
                    </a:xfrm>
                    <a:prstGeom prst="rect">
                      <a:avLst/>
                    </a:prstGeom>
                  </pic:spPr>
                </pic:pic>
              </a:graphicData>
            </a:graphic>
          </wp:inline>
        </w:drawing>
      </w:r>
    </w:p>
    <w:p w14:paraId="2283C3D1" w14:textId="44397193" w:rsidR="00853ABF" w:rsidRDefault="00E1513C" w:rsidP="00E1513C">
      <w:pPr>
        <w:spacing w:before="120"/>
        <w:rPr>
          <w:lang w:eastAsia="en-AU"/>
        </w:rPr>
      </w:pPr>
      <w:r>
        <w:rPr>
          <w:b/>
        </w:rPr>
        <w:t>Figure</w:t>
      </w:r>
      <w:r w:rsidRPr="000A5EDE">
        <w:rPr>
          <w:b/>
        </w:rPr>
        <w:t xml:space="preserve"> </w:t>
      </w:r>
      <w:r>
        <w:rPr>
          <w:b/>
        </w:rPr>
        <w:t>A3 Contractual arrangements and cash flows – energy only</w:t>
      </w:r>
    </w:p>
    <w:p w14:paraId="7C1412AB" w14:textId="0F9F1136" w:rsidR="00E1513C" w:rsidRPr="00853ABF" w:rsidRDefault="00E1513C" w:rsidP="00853ABF">
      <w:pPr>
        <w:rPr>
          <w:lang w:eastAsia="en-AU"/>
        </w:rPr>
      </w:pPr>
      <w:r w:rsidRPr="00E1513C">
        <w:rPr>
          <w:noProof/>
          <w:lang w:eastAsia="en-AU"/>
        </w:rPr>
        <w:drawing>
          <wp:inline distT="0" distB="0" distL="0" distR="0" wp14:anchorId="646400EF" wp14:editId="74405BC3">
            <wp:extent cx="4037610" cy="2939342"/>
            <wp:effectExtent l="0" t="0" r="1270" b="0"/>
            <wp:docPr id="14" name="Picture 1" descr="For description email electricyreform@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4048647" cy="2947377"/>
                    </a:xfrm>
                    <a:prstGeom prst="rect">
                      <a:avLst/>
                    </a:prstGeom>
                  </pic:spPr>
                </pic:pic>
              </a:graphicData>
            </a:graphic>
          </wp:inline>
        </w:drawing>
      </w:r>
    </w:p>
    <w:sectPr w:rsidR="00E1513C" w:rsidRPr="00853ABF" w:rsidSect="00C95D30">
      <w:pgSz w:w="11906" w:h="16838" w:code="9"/>
      <w:pgMar w:top="794" w:right="794" w:bottom="794" w:left="794" w:header="794" w:footer="79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601B7" w16cex:dateUtc="2020-12-17T05:41:00Z"/>
  <w16cex:commentExtensible w16cex:durableId="238601E6" w16cex:dateUtc="2020-12-17T05:42:00Z"/>
  <w16cex:commentExtensible w16cex:durableId="238602A0" w16cex:dateUtc="2020-12-17T05:45:00Z"/>
  <w16cex:commentExtensible w16cex:durableId="238602DD" w16cex:dateUtc="2020-12-17T05:46:00Z"/>
  <w16cex:commentExtensible w16cex:durableId="238597B1" w16cex:dateUtc="2020-12-16T22:09:00Z"/>
  <w16cex:commentExtensible w16cex:durableId="238602EB" w16cex:dateUtc="2020-12-17T05:46:00Z"/>
  <w16cex:commentExtensible w16cex:durableId="23870E7B" w16cex:dateUtc="2020-12-18T00:48:00Z"/>
  <w16cex:commentExtensible w16cex:durableId="23859872" w16cex:dateUtc="2020-12-16T22:12:00Z"/>
  <w16cex:commentExtensible w16cex:durableId="23870E71" w16cex:dateUtc="2020-12-18T00:48:00Z"/>
  <w16cex:commentExtensible w16cex:durableId="23870E5E" w16cex:dateUtc="2020-12-18T00:47:00Z"/>
  <w16cex:commentExtensible w16cex:durableId="238598B4" w16cex:dateUtc="2020-12-16T22:13:00Z"/>
  <w16cex:commentExtensible w16cex:durableId="2387100E" w16cex:dateUtc="2020-12-18T00:55:00Z"/>
  <w16cex:commentExtensible w16cex:durableId="238710AE" w16cex:dateUtc="2020-12-18T00:57:00Z"/>
  <w16cex:commentExtensible w16cex:durableId="23871131" w16cex:dateUtc="2020-12-18T00:59:00Z"/>
  <w16cex:commentExtensible w16cex:durableId="23860362" w16cex:dateUtc="2020-12-17T05:48:00Z"/>
  <w16cex:commentExtensible w16cex:durableId="238599B7" w16cex:dateUtc="2020-12-16T22:17:00Z"/>
  <w16cex:commentExtensible w16cex:durableId="23871161" w16cex:dateUtc="2020-12-18T01:00:00Z"/>
  <w16cex:commentExtensible w16cex:durableId="23860393" w16cex:dateUtc="2020-12-17T05:49:00Z"/>
  <w16cex:commentExtensible w16cex:durableId="23871189" w16cex:dateUtc="2020-12-18T01:01:00Z"/>
  <w16cex:commentExtensible w16cex:durableId="238711B3" w16cex:dateUtc="2020-12-18T01:02:00Z"/>
  <w16cex:commentExtensible w16cex:durableId="238603A0" w16cex:dateUtc="2020-12-17T05:49:00Z"/>
  <w16cex:commentExtensible w16cex:durableId="238603B0" w16cex:dateUtc="2020-12-17T05:50:00Z"/>
  <w16cex:commentExtensible w16cex:durableId="238603B9" w16cex:dateUtc="2020-12-17T05:50:00Z"/>
  <w16cex:commentExtensible w16cex:durableId="238603C8" w16cex:dateUtc="2020-12-17T05:50:00Z"/>
  <w16cex:commentExtensible w16cex:durableId="2387127A" w16cex:dateUtc="2020-12-18T01:05:00Z"/>
  <w16cex:commentExtensible w16cex:durableId="23860416" w16cex:dateUtc="2020-12-17T05:51:00Z"/>
  <w16cex:commentExtensible w16cex:durableId="2386044C" w16cex:dateUtc="2020-12-17T05:52:00Z"/>
  <w16cex:commentExtensible w16cex:durableId="23860463" w16cex:dateUtc="2020-12-17T05:52:00Z"/>
  <w16cex:commentExtensible w16cex:durableId="2387186C" w16cex:dateUtc="2020-12-18T01:30:00Z"/>
  <w16cex:commentExtensible w16cex:durableId="23871823" w16cex:dateUtc="2020-12-18T01:29:00Z"/>
  <w16cex:commentExtensible w16cex:durableId="23871814" w16cex:dateUtc="2020-12-18T0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A57C98" w16cid:durableId="238596BC"/>
  <w16cid:commentId w16cid:paraId="2B019EE8" w16cid:durableId="238596BD"/>
  <w16cid:commentId w16cid:paraId="1A5948C5" w16cid:durableId="238596BE"/>
  <w16cid:commentId w16cid:paraId="7BA37C64" w16cid:durableId="238596BF"/>
  <w16cid:commentId w16cid:paraId="7497377E" w16cid:durableId="238601B7"/>
  <w16cid:commentId w16cid:paraId="41B1832E" w16cid:durableId="238596C0"/>
  <w16cid:commentId w16cid:paraId="483D5830" w16cid:durableId="238596C1"/>
  <w16cid:commentId w16cid:paraId="70AADD0E" w16cid:durableId="238596C2"/>
  <w16cid:commentId w16cid:paraId="115FD72B" w16cid:durableId="238596C3"/>
  <w16cid:commentId w16cid:paraId="56D04B83" w16cid:durableId="238601E6"/>
  <w16cid:commentId w16cid:paraId="0946BE78" w16cid:durableId="238596C4"/>
  <w16cid:commentId w16cid:paraId="1C480850" w16cid:durableId="238596C5"/>
  <w16cid:commentId w16cid:paraId="6DAE3998" w16cid:durableId="238596C6"/>
  <w16cid:commentId w16cid:paraId="4D82C127" w16cid:durableId="238596C7"/>
  <w16cid:commentId w16cid:paraId="57DD0177" w16cid:durableId="238602A0"/>
  <w16cid:commentId w16cid:paraId="4E978935" w16cid:durableId="23870D06"/>
  <w16cid:commentId w16cid:paraId="7BF71DB2" w16cid:durableId="238596C8"/>
  <w16cid:commentId w16cid:paraId="3426F944" w16cid:durableId="238596C9"/>
  <w16cid:commentId w16cid:paraId="703C5FA0" w16cid:durableId="238596CA"/>
  <w16cid:commentId w16cid:paraId="33749A2F" w16cid:durableId="238596CB"/>
  <w16cid:commentId w16cid:paraId="53A30210" w16cid:durableId="238596CC"/>
  <w16cid:commentId w16cid:paraId="12FC37DC" w16cid:durableId="238602DD"/>
  <w16cid:commentId w16cid:paraId="6E43AD2F" w16cid:durableId="238596CD"/>
  <w16cid:commentId w16cid:paraId="543F3EFD" w16cid:durableId="238596CE"/>
  <w16cid:commentId w16cid:paraId="6663CB6E" w16cid:durableId="238597B1"/>
  <w16cid:commentId w16cid:paraId="20E5B005" w16cid:durableId="238602EB"/>
  <w16cid:commentId w16cid:paraId="5ACCA3DE" w16cid:durableId="23870D11"/>
  <w16cid:commentId w16cid:paraId="5358E463" w16cid:durableId="23870E7B"/>
  <w16cid:commentId w16cid:paraId="16D74B81" w16cid:durableId="238596CF"/>
  <w16cid:commentId w16cid:paraId="201CB4BE" w16cid:durableId="238596D0"/>
  <w16cid:commentId w16cid:paraId="6D4C71BF" w16cid:durableId="238596D1"/>
  <w16cid:commentId w16cid:paraId="118005CA" w16cid:durableId="238596D2"/>
  <w16cid:commentId w16cid:paraId="1B7FB0F2" w16cid:durableId="23859872"/>
  <w16cid:commentId w16cid:paraId="57AA1762" w16cid:durableId="23870D17"/>
  <w16cid:commentId w16cid:paraId="24771313" w16cid:durableId="23870E71"/>
  <w16cid:commentId w16cid:paraId="549985D1" w16cid:durableId="238596D3"/>
  <w16cid:commentId w16cid:paraId="78932322" w16cid:durableId="238596D4"/>
  <w16cid:commentId w16cid:paraId="06094109" w16cid:durableId="23870D1A"/>
  <w16cid:commentId w16cid:paraId="4167EA59" w16cid:durableId="23870E5E"/>
  <w16cid:commentId w16cid:paraId="200FDD36" w16cid:durableId="238596D5"/>
  <w16cid:commentId w16cid:paraId="0FCA7A1C" w16cid:durableId="238596D6"/>
  <w16cid:commentId w16cid:paraId="5498C6EB" w16cid:durableId="238598B4"/>
  <w16cid:commentId w16cid:paraId="35D930FA" w16cid:durableId="23870D1E"/>
  <w16cid:commentId w16cid:paraId="33A87F93" w16cid:durableId="2387100E"/>
  <w16cid:commentId w16cid:paraId="2E25C664" w16cid:durableId="238596D7"/>
  <w16cid:commentId w16cid:paraId="3A9A96BF" w16cid:durableId="238596D9"/>
  <w16cid:commentId w16cid:paraId="4C580205" w16cid:durableId="238596DA"/>
  <w16cid:commentId w16cid:paraId="53AC4D4C" w16cid:durableId="238596DB"/>
  <w16cid:commentId w16cid:paraId="12121071" w16cid:durableId="238596DC"/>
  <w16cid:commentId w16cid:paraId="3A276663" w16cid:durableId="23870D24"/>
  <w16cid:commentId w16cid:paraId="2AC95EB4" w16cid:durableId="238710AE"/>
  <w16cid:commentId w16cid:paraId="463A954A" w16cid:durableId="238596DD"/>
  <w16cid:commentId w16cid:paraId="4E5309DD" w16cid:durableId="23870D26"/>
  <w16cid:commentId w16cid:paraId="79E55B09" w16cid:durableId="23871131"/>
  <w16cid:commentId w16cid:paraId="7434A65A" w16cid:durableId="238596DE"/>
  <w16cid:commentId w16cid:paraId="411BCF3C" w16cid:durableId="238596DF"/>
  <w16cid:commentId w16cid:paraId="34582088" w16cid:durableId="23860362"/>
  <w16cid:commentId w16cid:paraId="2A234E0D" w16cid:durableId="238596E0"/>
  <w16cid:commentId w16cid:paraId="5B67C410" w16cid:durableId="238599B7"/>
  <w16cid:commentId w16cid:paraId="511FB78D" w16cid:durableId="23871161"/>
  <w16cid:commentId w16cid:paraId="13D3FD2E" w16cid:durableId="238596E1"/>
  <w16cid:commentId w16cid:paraId="6B78395E" w16cid:durableId="238596E2"/>
  <w16cid:commentId w16cid:paraId="2AD45F91" w16cid:durableId="238596E3"/>
  <w16cid:commentId w16cid:paraId="0C22EF92" w16cid:durableId="238596E4"/>
  <w16cid:commentId w16cid:paraId="510FBA64" w16cid:durableId="23860393"/>
  <w16cid:commentId w16cid:paraId="0FD21659" w16cid:durableId="23870D31"/>
  <w16cid:commentId w16cid:paraId="4EBD7F63" w16cid:durableId="23871189"/>
  <w16cid:commentId w16cid:paraId="07C966AB" w16cid:durableId="238596E5"/>
  <w16cid:commentId w16cid:paraId="3FBB9CAD" w16cid:durableId="23870D33"/>
  <w16cid:commentId w16cid:paraId="192E5204" w16cid:durableId="238711B3"/>
  <w16cid:commentId w16cid:paraId="235046EF" w16cid:durableId="238596E6"/>
  <w16cid:commentId w16cid:paraId="61F0FAF6" w16cid:durableId="238603A0"/>
  <w16cid:commentId w16cid:paraId="22549400" w16cid:durableId="238596E7"/>
  <w16cid:commentId w16cid:paraId="712F3567" w16cid:durableId="238596E8"/>
  <w16cid:commentId w16cid:paraId="581F247E" w16cid:durableId="238603B0"/>
  <w16cid:commentId w16cid:paraId="13D1F1CE" w16cid:durableId="238596E9"/>
  <w16cid:commentId w16cid:paraId="322B8BE8" w16cid:durableId="238603B9"/>
  <w16cid:commentId w16cid:paraId="2EF3EC75" w16cid:durableId="238596EA"/>
  <w16cid:commentId w16cid:paraId="6C06CD38" w16cid:durableId="238603C8"/>
  <w16cid:commentId w16cid:paraId="5C844A37" w16cid:durableId="23870D3D"/>
  <w16cid:commentId w16cid:paraId="09200747" w16cid:durableId="2387127A"/>
  <w16cid:commentId w16cid:paraId="7A8794A5" w16cid:durableId="238596EB"/>
  <w16cid:commentId w16cid:paraId="57F1469C" w16cid:durableId="23860416"/>
  <w16cid:commentId w16cid:paraId="17659BEF" w16cid:durableId="238596EC"/>
  <w16cid:commentId w16cid:paraId="10EA41AA" w16cid:durableId="238596ED"/>
  <w16cid:commentId w16cid:paraId="35CBA12D" w16cid:durableId="238596EE"/>
  <w16cid:commentId w16cid:paraId="391EA408" w16cid:durableId="2386044C"/>
  <w16cid:commentId w16cid:paraId="470154A6" w16cid:durableId="238596EF"/>
  <w16cid:commentId w16cid:paraId="4C4B5452" w16cid:durableId="238596F0"/>
  <w16cid:commentId w16cid:paraId="6F30FE33" w16cid:durableId="23860463"/>
  <w16cid:commentId w16cid:paraId="15135C6E" w16cid:durableId="238596F1"/>
  <w16cid:commentId w16cid:paraId="313DA6C2" w16cid:durableId="238596F2"/>
  <w16cid:commentId w16cid:paraId="7528A631" w16cid:durableId="2387186C"/>
  <w16cid:commentId w16cid:paraId="3F2C384A" w16cid:durableId="238596F3"/>
  <w16cid:commentId w16cid:paraId="50F61633" w16cid:durableId="23871823"/>
  <w16cid:commentId w16cid:paraId="453DBCFB" w16cid:durableId="238718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DEC1B" w14:textId="77777777" w:rsidR="002C0B0F" w:rsidRDefault="002C0B0F">
      <w:r>
        <w:separator/>
      </w:r>
    </w:p>
  </w:endnote>
  <w:endnote w:type="continuationSeparator" w:id="0">
    <w:p w14:paraId="48E8D5D5" w14:textId="77777777" w:rsidR="002C0B0F" w:rsidRDefault="002C0B0F">
      <w:r>
        <w:continuationSeparator/>
      </w:r>
    </w:p>
  </w:endnote>
  <w:endnote w:type="continuationNotice" w:id="1">
    <w:p w14:paraId="2CD27919" w14:textId="77777777" w:rsidR="002C0B0F" w:rsidRDefault="002C0B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Microsoft Sans Serif">
    <w:panose1 w:val="020B0604020202020204"/>
    <w:charset w:val="00"/>
    <w:family w:val="swiss"/>
    <w:pitch w:val="variable"/>
    <w:sig w:usb0="E5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46CF29AA" w14:textId="373B7B37" w:rsidR="002C0B0F" w:rsidRDefault="002C0B0F"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sidR="00AA22FA">
              <w:rPr>
                <w:rStyle w:val="PageNumber"/>
                <w:noProof/>
              </w:rPr>
              <w:t>2</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AA22FA">
              <w:rPr>
                <w:rStyle w:val="PageNumber"/>
                <w:noProof/>
              </w:rPr>
              <w:t>27</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5E852" w14:textId="77777777" w:rsidR="002C0B0F" w:rsidRPr="00F538BD" w:rsidRDefault="002C0B0F" w:rsidP="004E7885">
    <w:pPr>
      <w:spacing w:after="0"/>
      <w:jc w:val="right"/>
      <w:rPr>
        <w:sz w:val="6"/>
        <w:szCs w:val="6"/>
      </w:rPr>
    </w:pPr>
    <w:r w:rsidRPr="001852AF">
      <w:rPr>
        <w:noProof/>
        <w:lang w:eastAsia="en-AU"/>
      </w:rPr>
      <w:drawing>
        <wp:inline distT="0" distB="0" distL="0" distR="0" wp14:anchorId="26D9AECB" wp14:editId="08136C01">
          <wp:extent cx="1572479" cy="561600"/>
          <wp:effectExtent l="0" t="0" r="8890" b="0"/>
          <wp:docPr id="18" name="Picture 1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BEB0" w14:textId="77777777" w:rsidR="002C0B0F" w:rsidRDefault="002C0B0F"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9210" w14:textId="77777777" w:rsidR="002C0B0F" w:rsidRPr="00F538BD" w:rsidRDefault="002C0B0F"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2F8D0" w14:textId="77777777" w:rsidR="002C0B0F" w:rsidRPr="00A50829" w:rsidRDefault="002C0B0F"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C0B0F" w:rsidRPr="00132658" w14:paraId="6C9BEE55" w14:textId="77777777" w:rsidTr="004A5016">
      <w:trPr>
        <w:cantSplit/>
        <w:trHeight w:hRule="exact" w:val="850"/>
        <w:tblHeader/>
      </w:trPr>
      <w:tc>
        <w:tcPr>
          <w:tcW w:w="10318" w:type="dxa"/>
          <w:vAlign w:val="bottom"/>
        </w:tcPr>
        <w:p w14:paraId="38F51AF6" w14:textId="2C3D574A" w:rsidR="002C0B0F" w:rsidRPr="00CE6614" w:rsidRDefault="00AA22FA" w:rsidP="00A50829">
          <w:pPr>
            <w:spacing w:after="0"/>
            <w:rPr>
              <w:rStyle w:val="PageNumber"/>
            </w:rPr>
          </w:pPr>
          <w:sdt>
            <w:sdtPr>
              <w:rPr>
                <w:rStyle w:val="PageNumber"/>
              </w:rPr>
              <w:alias w:val="Date"/>
              <w:tag w:val=""/>
              <w:id w:val="1578473972"/>
              <w:placeholder>
                <w:docPart w:val="ABE4F6AEEED24E178CCD4A623E8E8EA3"/>
              </w:placeholder>
              <w:dataBinding w:prefixMappings="xmlns:ns0='http://schemas.microsoft.com/office/2006/coverPageProps' " w:xpath="/ns0:CoverPageProperties[1]/ns0:PublishDate[1]" w:storeItemID="{55AF091B-3C7A-41E3-B477-F2FDAA23CFDA}"/>
              <w15:color w:val="000000"/>
              <w:date w:fullDate="2021-01-30T00:00:00Z">
                <w:dateFormat w:val="d MMMM yyyy"/>
                <w:lid w:val="en-AU"/>
                <w:storeMappedDataAs w:val="dateTime"/>
                <w:calendar w:val="gregorian"/>
              </w:date>
            </w:sdtPr>
            <w:sdtEndPr>
              <w:rPr>
                <w:rStyle w:val="PageNumber"/>
              </w:rPr>
            </w:sdtEndPr>
            <w:sdtContent>
              <w:r w:rsidR="002C0B0F">
                <w:rPr>
                  <w:rStyle w:val="PageNumber"/>
                </w:rPr>
                <w:t>30 January 2021</w:t>
              </w:r>
            </w:sdtContent>
          </w:sdt>
          <w:r w:rsidR="002C0B0F" w:rsidRPr="00CE6614">
            <w:rPr>
              <w:rStyle w:val="PageNumber"/>
            </w:rPr>
            <w:t xml:space="preserve"> </w:t>
          </w:r>
        </w:p>
        <w:p w14:paraId="2E1812F4" w14:textId="0E77D3B4" w:rsidR="002C0B0F" w:rsidRPr="00AC4488" w:rsidRDefault="002C0B0F"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A22FA">
            <w:rPr>
              <w:rStyle w:val="PageNumber"/>
              <w:noProof/>
            </w:rPr>
            <w:t>27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A22FA">
            <w:rPr>
              <w:rStyle w:val="PageNumber"/>
              <w:noProof/>
            </w:rPr>
            <w:t>27</w:t>
          </w:r>
          <w:r w:rsidRPr="00AC4488">
            <w:rPr>
              <w:rStyle w:val="PageNumber"/>
            </w:rPr>
            <w:fldChar w:fldCharType="end"/>
          </w:r>
        </w:p>
      </w:tc>
    </w:tr>
  </w:tbl>
  <w:p w14:paraId="35132EF6" w14:textId="77777777" w:rsidR="002C0B0F" w:rsidRDefault="002C0B0F"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2830B" w14:textId="77777777" w:rsidR="002C0B0F" w:rsidRDefault="002C0B0F">
      <w:r>
        <w:separator/>
      </w:r>
    </w:p>
  </w:footnote>
  <w:footnote w:type="continuationSeparator" w:id="0">
    <w:p w14:paraId="7835F2E7" w14:textId="77777777" w:rsidR="002C0B0F" w:rsidRDefault="002C0B0F">
      <w:r>
        <w:continuationSeparator/>
      </w:r>
    </w:p>
  </w:footnote>
  <w:footnote w:type="continuationNotice" w:id="1">
    <w:p w14:paraId="4DA0C3FF" w14:textId="77777777" w:rsidR="002C0B0F" w:rsidRDefault="002C0B0F">
      <w:pPr>
        <w:spacing w:after="0"/>
      </w:pPr>
    </w:p>
  </w:footnote>
  <w:footnote w:id="2">
    <w:p w14:paraId="14898599" w14:textId="15B40D55" w:rsidR="002C0B0F" w:rsidRPr="00021735" w:rsidRDefault="002C0B0F" w:rsidP="00812592">
      <w:pPr>
        <w:pStyle w:val="FootnoteText"/>
        <w:rPr>
          <w:sz w:val="18"/>
          <w:szCs w:val="18"/>
        </w:rPr>
      </w:pPr>
      <w:r w:rsidRPr="00021735">
        <w:rPr>
          <w:rStyle w:val="FootnoteReference"/>
          <w:sz w:val="18"/>
          <w:szCs w:val="18"/>
        </w:rPr>
        <w:footnoteRef/>
      </w:r>
      <w:r w:rsidRPr="00021735">
        <w:rPr>
          <w:sz w:val="18"/>
          <w:szCs w:val="18"/>
        </w:rPr>
        <w:t xml:space="preserve"> At </w:t>
      </w:r>
      <w:hyperlink r:id="rId1" w:history="1">
        <w:r w:rsidR="009A4556" w:rsidRPr="00801584">
          <w:rPr>
            <w:rStyle w:val="Hyperlink"/>
            <w:sz w:val="18"/>
            <w:szCs w:val="18"/>
          </w:rPr>
          <w:t>https://industry.nt.gov.au/__data/assets/pdf_file/0012/889563/ntemprp-introductory-notes-scope-work-program.pdf</w:t>
        </w:r>
      </w:hyperlink>
      <w:r w:rsidR="009A4556">
        <w:rPr>
          <w:sz w:val="18"/>
          <w:szCs w:val="18"/>
        </w:rPr>
        <w:t xml:space="preserve"> </w:t>
      </w:r>
    </w:p>
  </w:footnote>
  <w:footnote w:id="3">
    <w:p w14:paraId="19124A64" w14:textId="77777777" w:rsidR="002C0B0F" w:rsidRPr="00021735" w:rsidRDefault="002C0B0F">
      <w:pPr>
        <w:pStyle w:val="FootnoteText"/>
        <w:rPr>
          <w:sz w:val="18"/>
          <w:szCs w:val="18"/>
        </w:rPr>
      </w:pPr>
      <w:r w:rsidRPr="00021735">
        <w:rPr>
          <w:rStyle w:val="FootnoteReference"/>
          <w:sz w:val="18"/>
          <w:szCs w:val="18"/>
        </w:rPr>
        <w:footnoteRef/>
      </w:r>
      <w:r w:rsidRPr="00021735">
        <w:rPr>
          <w:sz w:val="18"/>
          <w:szCs w:val="18"/>
        </w:rPr>
        <w:t xml:space="preserve"> Further detail on reliability standards and the issues considered during the consultation can be found at </w:t>
      </w:r>
      <w:hyperlink r:id="rId2" w:history="1">
        <w:r w:rsidRPr="00021735">
          <w:rPr>
            <w:color w:val="0000FF"/>
            <w:sz w:val="18"/>
            <w:szCs w:val="18"/>
            <w:u w:val="single"/>
          </w:rPr>
          <w:t>https://treasury.nt.gov.au/__data/assets/pdf_file/0005/646475/Consultation-Paper-Reliability-Standard-Form-Final-Jan-2018.pdf</w:t>
        </w:r>
      </w:hyperlink>
      <w:r w:rsidRPr="00021735">
        <w:rPr>
          <w:sz w:val="18"/>
          <w:szCs w:val="18"/>
        </w:rPr>
        <w:t xml:space="preserve">. </w:t>
      </w:r>
    </w:p>
  </w:footnote>
  <w:footnote w:id="4">
    <w:p w14:paraId="79CBCC6E" w14:textId="4A077A10" w:rsidR="002C0B0F" w:rsidRPr="00021735" w:rsidRDefault="002C0B0F">
      <w:pPr>
        <w:pStyle w:val="FootnoteText"/>
        <w:rPr>
          <w:sz w:val="18"/>
          <w:szCs w:val="18"/>
        </w:rPr>
      </w:pPr>
      <w:r w:rsidRPr="00021735">
        <w:rPr>
          <w:rStyle w:val="FootnoteReference"/>
          <w:sz w:val="18"/>
          <w:szCs w:val="18"/>
        </w:rPr>
        <w:footnoteRef/>
      </w:r>
      <w:r w:rsidRPr="00021735">
        <w:rPr>
          <w:sz w:val="18"/>
          <w:szCs w:val="18"/>
        </w:rPr>
        <w:t xml:space="preserve"> Or other capacity sources recognised under the mechanism, such as battery storage </w:t>
      </w:r>
      <w:r w:rsidRPr="00F02741">
        <w:rPr>
          <w:sz w:val="18"/>
          <w:szCs w:val="18"/>
        </w:rPr>
        <w:t>or schedulable distributed resources</w:t>
      </w:r>
      <w:r w:rsidRPr="00021735">
        <w:rPr>
          <w:sz w:val="18"/>
          <w:szCs w:val="18"/>
        </w:rPr>
        <w:t>.</w:t>
      </w:r>
    </w:p>
  </w:footnote>
  <w:footnote w:id="5">
    <w:p w14:paraId="49E80A1B" w14:textId="77777777" w:rsidR="002C0B0F" w:rsidRDefault="002C0B0F" w:rsidP="00592571">
      <w:pPr>
        <w:pStyle w:val="FootnoteText"/>
      </w:pPr>
      <w:r w:rsidRPr="00021735">
        <w:rPr>
          <w:rStyle w:val="FootnoteReference"/>
          <w:sz w:val="18"/>
          <w:szCs w:val="18"/>
        </w:rPr>
        <w:footnoteRef/>
      </w:r>
      <w:r w:rsidRPr="00021735">
        <w:rPr>
          <w:sz w:val="18"/>
          <w:szCs w:val="18"/>
        </w:rPr>
        <w:t xml:space="preserve"> The Power and Water Corporation holds the System Control licence for the Territory’s three regulated power systems (DKIS, Tennant Creek and Alice Springs power systems). System Control is responsible for real time operations, operations planning, power system technical assessments, incident reviews, and operational and technical regulatory reporting for the three power systems.</w:t>
      </w:r>
      <w:r>
        <w:t xml:space="preserve"> </w:t>
      </w:r>
    </w:p>
  </w:footnote>
  <w:footnote w:id="6">
    <w:p w14:paraId="0BB47865" w14:textId="77777777" w:rsidR="002C0B0F" w:rsidRPr="00637B1D" w:rsidRDefault="002C0B0F" w:rsidP="002A35DB">
      <w:pPr>
        <w:pStyle w:val="FootnoteText"/>
        <w:rPr>
          <w:sz w:val="18"/>
          <w:szCs w:val="18"/>
        </w:rPr>
      </w:pPr>
      <w:r w:rsidRPr="00637B1D">
        <w:rPr>
          <w:rStyle w:val="FootnoteReference"/>
          <w:sz w:val="18"/>
          <w:szCs w:val="18"/>
        </w:rPr>
        <w:footnoteRef/>
      </w:r>
      <w:r w:rsidRPr="00637B1D">
        <w:rPr>
          <w:sz w:val="18"/>
          <w:szCs w:val="18"/>
        </w:rPr>
        <w:t xml:space="preserve"> CIGRE. Capacity mechanisms: needs, solutions and state of affairs, Working Group C5.17, February 2016. Available at </w:t>
      </w:r>
      <w:hyperlink r:id="rId3" w:history="1">
        <w:r w:rsidRPr="00637B1D">
          <w:rPr>
            <w:color w:val="0000FF"/>
            <w:sz w:val="18"/>
            <w:szCs w:val="18"/>
            <w:u w:val="single"/>
          </w:rPr>
          <w:t>https://e-cigre.org/publication/647-capacity-mechanisms-needs-solutions-and-state-of-affairs</w:t>
        </w:r>
      </w:hyperlink>
      <w:r w:rsidRPr="00637B1D">
        <w:rPr>
          <w:sz w:val="18"/>
          <w:szCs w:val="18"/>
        </w:rPr>
        <w:t>.</w:t>
      </w:r>
    </w:p>
  </w:footnote>
  <w:footnote w:id="7">
    <w:p w14:paraId="0569EB84" w14:textId="5B2F36A4" w:rsidR="002C0B0F" w:rsidRDefault="002C0B0F">
      <w:pPr>
        <w:pStyle w:val="FootnoteText"/>
      </w:pPr>
      <w:r w:rsidRPr="00021735">
        <w:rPr>
          <w:rStyle w:val="FootnoteReference"/>
          <w:sz w:val="18"/>
          <w:szCs w:val="18"/>
        </w:rPr>
        <w:footnoteRef/>
      </w:r>
      <w:r w:rsidRPr="00021735">
        <w:rPr>
          <w:sz w:val="18"/>
          <w:szCs w:val="18"/>
        </w:rPr>
        <w:t xml:space="preserve"> For example, jurisdictions including the Australian Capital Territory </w:t>
      </w:r>
      <w:r>
        <w:rPr>
          <w:sz w:val="18"/>
          <w:szCs w:val="18"/>
        </w:rPr>
        <w:t xml:space="preserve">(ACT) </w:t>
      </w:r>
      <w:r w:rsidRPr="00021735">
        <w:rPr>
          <w:sz w:val="18"/>
          <w:szCs w:val="18"/>
        </w:rPr>
        <w:t>have used reverse auctions to ac</w:t>
      </w:r>
      <w:r>
        <w:rPr>
          <w:sz w:val="18"/>
          <w:szCs w:val="18"/>
        </w:rPr>
        <w:t>hieve renewable energy targets, with auctions using</w:t>
      </w:r>
      <w:r w:rsidRPr="00021735">
        <w:rPr>
          <w:sz w:val="18"/>
          <w:szCs w:val="18"/>
        </w:rPr>
        <w:t xml:space="preserve"> the NEM market price in NSW as the reference price (the ACT is within the NSW region).</w:t>
      </w:r>
      <w:r>
        <w:t xml:space="preserve"> </w:t>
      </w:r>
    </w:p>
  </w:footnote>
  <w:footnote w:id="8">
    <w:p w14:paraId="6C13909F" w14:textId="2C83FAEC" w:rsidR="002C0B0F" w:rsidRPr="00F1795A" w:rsidRDefault="002C0B0F">
      <w:pPr>
        <w:pStyle w:val="FootnoteText"/>
        <w:rPr>
          <w:sz w:val="18"/>
          <w:szCs w:val="18"/>
        </w:rPr>
      </w:pPr>
      <w:r w:rsidRPr="003665A6">
        <w:rPr>
          <w:rStyle w:val="FootnoteReference"/>
          <w:sz w:val="18"/>
          <w:szCs w:val="18"/>
        </w:rPr>
        <w:footnoteRef/>
      </w:r>
      <w:r w:rsidRPr="003665A6">
        <w:rPr>
          <w:sz w:val="18"/>
          <w:szCs w:val="18"/>
        </w:rPr>
        <w:t xml:space="preserve"> The Policy Position Paper on dispatch and settlement can be found at: </w:t>
      </w:r>
      <w:hyperlink r:id="rId4" w:tgtFrame="_blank" w:history="1">
        <w:r w:rsidR="009A4556">
          <w:rPr>
            <w:rStyle w:val="Hyperlink"/>
            <w:rFonts w:asciiTheme="minorHAnsi" w:hAnsiTheme="minorHAnsi" w:cs="Arial"/>
            <w:color w:val="0066CC"/>
            <w:sz w:val="18"/>
            <w:szCs w:val="18"/>
            <w:shd w:val="clear" w:color="auto" w:fill="FFFFFF"/>
          </w:rPr>
          <w:t>https://industry.nt.gov.au/electricityreforms</w:t>
        </w:r>
      </w:hyperlink>
    </w:p>
  </w:footnote>
  <w:footnote w:id="9">
    <w:p w14:paraId="5D2F056B" w14:textId="36FF882E" w:rsidR="002C0B0F" w:rsidRPr="00021735" w:rsidRDefault="002C0B0F">
      <w:pPr>
        <w:pStyle w:val="FootnoteText"/>
        <w:rPr>
          <w:sz w:val="18"/>
          <w:szCs w:val="18"/>
        </w:rPr>
      </w:pPr>
      <w:r w:rsidRPr="00021735">
        <w:rPr>
          <w:rStyle w:val="FootnoteReference"/>
          <w:sz w:val="18"/>
          <w:szCs w:val="18"/>
        </w:rPr>
        <w:footnoteRef/>
      </w:r>
      <w:r w:rsidRPr="00021735">
        <w:rPr>
          <w:sz w:val="18"/>
          <w:szCs w:val="18"/>
        </w:rPr>
        <w:t xml:space="preserve"> The inputs listed are for typical industry models and can be amended in light of the final choice of model used by the Reliability Manager. Most industry models require input costs, although technically costs are not required for this modelling exercise. Therefore, input cost information could be estimates or indicative.</w:t>
      </w:r>
    </w:p>
  </w:footnote>
  <w:footnote w:id="10">
    <w:p w14:paraId="574B9439" w14:textId="5C7A5472" w:rsidR="002C0B0F" w:rsidRDefault="002C0B0F">
      <w:pPr>
        <w:pStyle w:val="FootnoteText"/>
      </w:pPr>
      <w:r w:rsidRPr="00021735">
        <w:rPr>
          <w:rStyle w:val="FootnoteReference"/>
          <w:sz w:val="18"/>
          <w:szCs w:val="18"/>
        </w:rPr>
        <w:footnoteRef/>
      </w:r>
      <w:r w:rsidRPr="00021735">
        <w:rPr>
          <w:sz w:val="18"/>
          <w:szCs w:val="18"/>
        </w:rPr>
        <w:t xml:space="preserve"> </w:t>
      </w:r>
      <w:r w:rsidRPr="00021735">
        <w:rPr>
          <w:sz w:val="18"/>
          <w:szCs w:val="18"/>
          <w:lang w:eastAsia="en-AU"/>
        </w:rPr>
        <w:t>In small system as such the DKIS allowance for security can dominate capacity requirements</w:t>
      </w:r>
      <w:r>
        <w:rPr>
          <w:sz w:val="18"/>
          <w:szCs w:val="18"/>
          <w:lang w:eastAsia="en-AU"/>
        </w:rPr>
        <w:t>.</w:t>
      </w:r>
    </w:p>
  </w:footnote>
  <w:footnote w:id="11">
    <w:p w14:paraId="18D9A403" w14:textId="5A4682C0" w:rsidR="002C0B0F" w:rsidRPr="00021735" w:rsidRDefault="002C0B0F">
      <w:pPr>
        <w:pStyle w:val="FootnoteText"/>
        <w:rPr>
          <w:sz w:val="18"/>
          <w:szCs w:val="18"/>
        </w:rPr>
      </w:pPr>
      <w:r w:rsidRPr="00021735">
        <w:rPr>
          <w:rStyle w:val="FootnoteReference"/>
          <w:sz w:val="18"/>
          <w:szCs w:val="18"/>
        </w:rPr>
        <w:footnoteRef/>
      </w:r>
      <w:r w:rsidRPr="00021735">
        <w:rPr>
          <w:sz w:val="18"/>
          <w:szCs w:val="18"/>
        </w:rPr>
        <w:t xml:space="preserve"> The choice of how to allocate capacity obligations varies widely between markets with capacity mechanisms. The proposed process has been chose</w:t>
      </w:r>
      <w:r>
        <w:rPr>
          <w:sz w:val="18"/>
          <w:szCs w:val="18"/>
        </w:rPr>
        <w:t>n to be simple, transparent</w:t>
      </w:r>
      <w:r w:rsidRPr="00021735">
        <w:rPr>
          <w:sz w:val="18"/>
          <w:szCs w:val="18"/>
        </w:rPr>
        <w:t xml:space="preserve"> and low cost to administer. </w:t>
      </w:r>
    </w:p>
  </w:footnote>
  <w:footnote w:id="12">
    <w:p w14:paraId="24B13ADF" w14:textId="19065548" w:rsidR="002C0B0F" w:rsidRPr="00021735" w:rsidRDefault="002C0B0F">
      <w:pPr>
        <w:pStyle w:val="FootnoteText"/>
        <w:rPr>
          <w:sz w:val="18"/>
          <w:szCs w:val="18"/>
        </w:rPr>
      </w:pPr>
      <w:r w:rsidRPr="00021735">
        <w:rPr>
          <w:rStyle w:val="FootnoteReference"/>
          <w:sz w:val="18"/>
          <w:szCs w:val="18"/>
        </w:rPr>
        <w:footnoteRef/>
      </w:r>
      <w:r w:rsidRPr="00021735">
        <w:rPr>
          <w:sz w:val="18"/>
          <w:szCs w:val="18"/>
        </w:rPr>
        <w:t xml:space="preserve"> Although the concept is used in a number of markets, it should be noted that the detailed design varies. </w:t>
      </w:r>
    </w:p>
  </w:footnote>
  <w:footnote w:id="13">
    <w:p w14:paraId="4F7D256F" w14:textId="0B5BF320" w:rsidR="002C0B0F" w:rsidRPr="00021735" w:rsidRDefault="002C0B0F">
      <w:pPr>
        <w:pStyle w:val="FootnoteText"/>
        <w:rPr>
          <w:sz w:val="18"/>
          <w:szCs w:val="18"/>
        </w:rPr>
      </w:pPr>
      <w:r w:rsidRPr="00021735">
        <w:rPr>
          <w:rStyle w:val="FootnoteReference"/>
          <w:sz w:val="18"/>
          <w:szCs w:val="18"/>
        </w:rPr>
        <w:footnoteRef/>
      </w:r>
      <w:r w:rsidRPr="00021735">
        <w:rPr>
          <w:sz w:val="18"/>
          <w:szCs w:val="18"/>
        </w:rPr>
        <w:t xml:space="preserve"> </w:t>
      </w:r>
      <w:r w:rsidRPr="00021735">
        <w:rPr>
          <w:sz w:val="18"/>
          <w:szCs w:val="18"/>
        </w:rPr>
        <w:tab/>
      </w:r>
      <w:r w:rsidRPr="00021735">
        <w:rPr>
          <w:sz w:val="18"/>
          <w:szCs w:val="18"/>
          <w:lang w:eastAsia="en-AU"/>
        </w:rPr>
        <w:t>The concept is similar to the dynamic refund regime in the WA WEM and rising prices in the NEM when reserve reduces.</w:t>
      </w:r>
    </w:p>
  </w:footnote>
  <w:footnote w:id="14">
    <w:p w14:paraId="3F417240" w14:textId="377ED387" w:rsidR="002C0B0F" w:rsidRPr="00021735" w:rsidRDefault="002C0B0F" w:rsidP="008722C4">
      <w:pPr>
        <w:keepNext/>
        <w:rPr>
          <w:sz w:val="18"/>
          <w:szCs w:val="18"/>
          <w:lang w:eastAsia="en-AU"/>
        </w:rPr>
      </w:pPr>
      <w:r w:rsidRPr="00021735">
        <w:rPr>
          <w:rStyle w:val="FootnoteReference"/>
          <w:sz w:val="18"/>
          <w:szCs w:val="18"/>
        </w:rPr>
        <w:footnoteRef/>
      </w:r>
      <w:r w:rsidRPr="00021735">
        <w:rPr>
          <w:sz w:val="18"/>
          <w:szCs w:val="18"/>
        </w:rPr>
        <w:t xml:space="preserve"> </w:t>
      </w:r>
      <w:r w:rsidRPr="00021735">
        <w:rPr>
          <w:sz w:val="18"/>
          <w:szCs w:val="18"/>
          <w:lang w:eastAsia="en-AU"/>
        </w:rPr>
        <w:t>The capacity mechanism will ensure sufficient capacity is contracted to meet the Reliability Standard and capacity providers will be paid through that mechanism. However, in the absence of revised essential system services arrangements, if a provider of essential system services was not contracted for provision of capacity, an alternative means would be required to ensure it was able to recover any costs associated with being available to provide essential system services.</w:t>
      </w:r>
    </w:p>
  </w:footnote>
  <w:footnote w:id="15">
    <w:p w14:paraId="55268910" w14:textId="245BD97A" w:rsidR="002C0B0F" w:rsidRPr="00021735" w:rsidRDefault="002C0B0F" w:rsidP="00B264DF">
      <w:pPr>
        <w:pStyle w:val="FootnoteText"/>
        <w:ind w:left="284" w:hanging="284"/>
        <w:rPr>
          <w:sz w:val="18"/>
          <w:szCs w:val="18"/>
        </w:rPr>
      </w:pPr>
      <w:r w:rsidRPr="00021735">
        <w:rPr>
          <w:rStyle w:val="FootnoteReference"/>
          <w:sz w:val="18"/>
          <w:szCs w:val="18"/>
        </w:rPr>
        <w:footnoteRef/>
      </w:r>
      <w:r w:rsidRPr="00021735">
        <w:rPr>
          <w:sz w:val="18"/>
          <w:szCs w:val="18"/>
        </w:rPr>
        <w:t xml:space="preserve"> Even if the rules for the capacity mechanism were to be implemented via code changes, they would likely require supporting legislative and/or regulatory changes. </w:t>
      </w:r>
    </w:p>
  </w:footnote>
  <w:footnote w:id="16">
    <w:p w14:paraId="0B125152" w14:textId="0F95B561" w:rsidR="002C0B0F" w:rsidRDefault="002C0B0F" w:rsidP="00C50B67">
      <w:pPr>
        <w:pStyle w:val="FootnoteText"/>
      </w:pPr>
      <w:r w:rsidRPr="00021735">
        <w:rPr>
          <w:rStyle w:val="FootnoteReference"/>
          <w:sz w:val="18"/>
          <w:szCs w:val="18"/>
        </w:rPr>
        <w:footnoteRef/>
      </w:r>
      <w:r w:rsidRPr="00021735">
        <w:rPr>
          <w:sz w:val="18"/>
          <w:szCs w:val="18"/>
        </w:rPr>
        <w:t xml:space="preserve"> This is also subject to further legal advice and the views of the Northern Territory Office of Parliamentary Counsel.</w:t>
      </w:r>
    </w:p>
  </w:footnote>
  <w:footnote w:id="17">
    <w:p w14:paraId="7B8FAA17" w14:textId="4D62EBB9" w:rsidR="002C0B0F" w:rsidRPr="003B3760" w:rsidRDefault="002C0B0F">
      <w:pPr>
        <w:pStyle w:val="FootnoteText"/>
        <w:rPr>
          <w:sz w:val="18"/>
          <w:szCs w:val="18"/>
        </w:rPr>
      </w:pPr>
      <w:r w:rsidRPr="00E87A99">
        <w:rPr>
          <w:rStyle w:val="FootnoteReference"/>
          <w:sz w:val="18"/>
          <w:szCs w:val="18"/>
        </w:rPr>
        <w:footnoteRef/>
      </w:r>
      <w:r w:rsidRPr="00E87A99">
        <w:rPr>
          <w:sz w:val="18"/>
          <w:szCs w:val="18"/>
        </w:rPr>
        <w:t xml:space="preserve">  Registration details for the Stakeholder Working Group are at: </w:t>
      </w:r>
      <w:hyperlink r:id="rId5" w:tgtFrame="_blank" w:history="1">
        <w:r w:rsidR="009A4556">
          <w:rPr>
            <w:rStyle w:val="Hyperlink"/>
            <w:rFonts w:asciiTheme="minorHAnsi" w:hAnsiTheme="minorHAnsi" w:cs="Arial"/>
            <w:color w:val="0066CC"/>
            <w:sz w:val="18"/>
            <w:szCs w:val="18"/>
            <w:shd w:val="clear" w:color="auto" w:fill="FFFFFF"/>
          </w:rPr>
          <w:t>https://industry.nt.gov.au/electricityreforms</w:t>
        </w:r>
      </w:hyperlink>
    </w:p>
  </w:footnote>
  <w:footnote w:id="18">
    <w:p w14:paraId="68B93BDD" w14:textId="37AD4237" w:rsidR="002C0B0F" w:rsidRPr="00F1795A" w:rsidRDefault="002C0B0F">
      <w:pPr>
        <w:pStyle w:val="FootnoteText"/>
        <w:rPr>
          <w:sz w:val="18"/>
          <w:szCs w:val="18"/>
        </w:rPr>
      </w:pPr>
      <w:r w:rsidRPr="00E87A99">
        <w:rPr>
          <w:rStyle w:val="FootnoteReference"/>
          <w:sz w:val="18"/>
          <w:szCs w:val="18"/>
        </w:rPr>
        <w:footnoteRef/>
      </w:r>
      <w:r w:rsidRPr="00E87A99">
        <w:rPr>
          <w:sz w:val="18"/>
          <w:szCs w:val="18"/>
        </w:rPr>
        <w:t xml:space="preserve"> Refer to the Policy Position Paper on dispatch and settlement at: </w:t>
      </w:r>
      <w:hyperlink r:id="rId6" w:tgtFrame="_blank" w:history="1">
        <w:r w:rsidR="009A4556">
          <w:rPr>
            <w:rStyle w:val="Hyperlink"/>
            <w:rFonts w:asciiTheme="minorHAnsi" w:hAnsiTheme="minorHAnsi" w:cs="Arial"/>
            <w:color w:val="0066CC"/>
            <w:sz w:val="18"/>
            <w:szCs w:val="18"/>
            <w:shd w:val="clear" w:color="auto" w:fill="FFFFFF"/>
          </w:rPr>
          <w:t>https://industry.nt.gov.au/electricityreforms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C6550" w14:textId="23BC54C3" w:rsidR="002C0B0F" w:rsidRPr="008E0345" w:rsidRDefault="00AA22FA" w:rsidP="005A5A44">
    <w:pPr>
      <w:pStyle w:val="Header"/>
    </w:pPr>
    <w:sdt>
      <w:sdtPr>
        <w:alias w:val="Title"/>
        <w:tag w:val=""/>
        <w:id w:val="-477918894"/>
        <w:placeholder>
          <w:docPart w:val="584AEF544CD442429EACC914F863ACFE"/>
        </w:placeholder>
        <w:dataBinding w:prefixMappings="xmlns:ns0='http://purl.org/dc/elements/1.1/' xmlns:ns1='http://schemas.openxmlformats.org/package/2006/metadata/core-properties' " w:xpath="/ns1:coreProperties[1]/ns0:title[1]" w:storeItemID="{6C3C8BC8-F283-45AE-878A-BAB7291924A1}"/>
        <w:text/>
      </w:sdtPr>
      <w:sdtEndPr/>
      <w:sdtContent>
        <w:r w:rsidR="002C0B0F">
          <w:t>NTEM Priority Reform Program: Reliability priority changes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8110C" w14:textId="77777777" w:rsidR="002C0B0F" w:rsidRPr="00BD0F38" w:rsidRDefault="002C0B0F" w:rsidP="00A32EFF">
    <w:pPr>
      <w:tabs>
        <w:tab w:val="right" w:pos="10318"/>
      </w:tabs>
    </w:pPr>
    <w:r w:rsidRPr="00BD0F38">
      <w:rPr>
        <w:noProof/>
        <w:lang w:eastAsia="en-AU"/>
      </w:rPr>
      <w:drawing>
        <wp:anchor distT="0" distB="0" distL="0" distR="0" simplePos="0" relativeHeight="251659264" behindDoc="0" locked="0" layoutInCell="1" allowOverlap="1" wp14:anchorId="18F36299" wp14:editId="4C1A4519">
          <wp:simplePos x="0" y="0"/>
          <wp:positionH relativeFrom="page">
            <wp:align>left</wp:align>
          </wp:positionH>
          <wp:positionV relativeFrom="page">
            <wp:posOffset>3393830</wp:posOffset>
          </wp:positionV>
          <wp:extent cx="7553130" cy="5448285"/>
          <wp:effectExtent l="0" t="0" r="0" b="635"/>
          <wp:wrapTopAndBottom/>
          <wp:docPr id="17"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14D9F" w14:textId="00BD7EF0" w:rsidR="002C0B0F" w:rsidRPr="004E7885" w:rsidRDefault="00AA22FA" w:rsidP="004E7885">
    <w:pPr>
      <w:pStyle w:val="Header"/>
    </w:pPr>
    <w:sdt>
      <w:sdtPr>
        <w:alias w:val="Title"/>
        <w:tag w:val="Title"/>
        <w:id w:val="94911156"/>
        <w:lock w:val="sdtLocked"/>
        <w:placeholder>
          <w:docPart w:val="584AEF544CD442429EACC914F863ACFE"/>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2C0B0F">
          <w:t>NTEM Priority Reform Program: Reliability priority changes</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B171" w14:textId="77777777" w:rsidR="002C0B0F" w:rsidRPr="00274F1C" w:rsidRDefault="002C0B0F"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DD8A740263D64D8DB0C02169996CB0A5"/>
      </w:placeholder>
      <w:dataBinding w:prefixMappings="xmlns:ns0='http://purl.org/dc/elements/1.1/' xmlns:ns1='http://schemas.openxmlformats.org/package/2006/metadata/core-properties' " w:xpath="/ns1:coreProperties[1]/ns0:title[1]" w:storeItemID="{6C3C8BC8-F283-45AE-878A-BAB7291924A1}"/>
      <w:text/>
    </w:sdtPr>
    <w:sdtEndPr/>
    <w:sdtContent>
      <w:p w14:paraId="03286961" w14:textId="4F3881DB" w:rsidR="002C0B0F" w:rsidRPr="00964B22" w:rsidRDefault="002C0B0F" w:rsidP="008E0345">
        <w:pPr>
          <w:pStyle w:val="Header"/>
          <w:rPr>
            <w:b/>
          </w:rPr>
        </w:pPr>
        <w:r>
          <w:t>NTEM Priority Reform Program: Reliability priority changes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545"/>
    <w:multiLevelType w:val="hybridMultilevel"/>
    <w:tmpl w:val="B71C36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A6313"/>
    <w:multiLevelType w:val="hybridMultilevel"/>
    <w:tmpl w:val="26AA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195B3C"/>
    <w:multiLevelType w:val="multilevel"/>
    <w:tmpl w:val="3928FD02"/>
    <w:name w:val="NTG Table Bullet List3322222"/>
    <w:numStyleLink w:val="Bulletlist"/>
  </w:abstractNum>
  <w:abstractNum w:abstractNumId="8" w15:restartNumberingAfterBreak="0">
    <w:nsid w:val="100244A1"/>
    <w:multiLevelType w:val="multilevel"/>
    <w:tmpl w:val="0C78A7AC"/>
    <w:name w:val="NTG Table Bullet List332"/>
    <w:numStyleLink w:val="Tablebulletlist"/>
  </w:abstractNum>
  <w:abstractNum w:abstractNumId="9" w15:restartNumberingAfterBreak="0">
    <w:nsid w:val="1012237B"/>
    <w:multiLevelType w:val="multilevel"/>
    <w:tmpl w:val="0C78A7AC"/>
    <w:name w:val="NTG Table Bullet List32"/>
    <w:numStyleLink w:val="Tablebulletlist"/>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994BCD"/>
    <w:multiLevelType w:val="hybridMultilevel"/>
    <w:tmpl w:val="62329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D26C06"/>
    <w:multiLevelType w:val="multilevel"/>
    <w:tmpl w:val="3E5E177A"/>
    <w:name w:val="NTG Table Bullet List33222222222222222"/>
    <w:numStyleLink w:val="Tablenumberlist"/>
  </w:abstractNum>
  <w:abstractNum w:abstractNumId="15" w15:restartNumberingAfterBreak="0">
    <w:nsid w:val="19533A06"/>
    <w:multiLevelType w:val="multilevel"/>
    <w:tmpl w:val="3928FD02"/>
    <w:name w:val="NTG Table Bullet List3222"/>
    <w:numStyleLink w:val="Bulletlist"/>
  </w:abstractNum>
  <w:abstractNum w:abstractNumId="16"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0702D9F"/>
    <w:multiLevelType w:val="hybridMultilevel"/>
    <w:tmpl w:val="E564EE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0D71D62"/>
    <w:multiLevelType w:val="hybridMultilevel"/>
    <w:tmpl w:val="E92856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5" w15:restartNumberingAfterBreak="0">
    <w:nsid w:val="26AC5A5E"/>
    <w:multiLevelType w:val="hybridMultilevel"/>
    <w:tmpl w:val="06986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72E3F76"/>
    <w:multiLevelType w:val="multilevel"/>
    <w:tmpl w:val="3E5E177A"/>
    <w:name w:val="NTG Table Bullet List3322"/>
    <w:numStyleLink w:val="Tablenumberlist"/>
  </w:abstractNum>
  <w:abstractNum w:abstractNumId="27" w15:restartNumberingAfterBreak="0">
    <w:nsid w:val="27CE4608"/>
    <w:multiLevelType w:val="multilevel"/>
    <w:tmpl w:val="3E5E177A"/>
    <w:name w:val="NTG Table Bullet List33222"/>
    <w:numStyleLink w:val="Tablenumberlist"/>
  </w:abstractNum>
  <w:abstractNum w:abstractNumId="28" w15:restartNumberingAfterBreak="0">
    <w:nsid w:val="27D83E4D"/>
    <w:multiLevelType w:val="multilevel"/>
    <w:tmpl w:val="3928FD02"/>
    <w:numStyleLink w:val="Bulletlist"/>
  </w:abstractNum>
  <w:abstractNum w:abstractNumId="29" w15:restartNumberingAfterBreak="0">
    <w:nsid w:val="281453F3"/>
    <w:multiLevelType w:val="hybridMultilevel"/>
    <w:tmpl w:val="8716F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A1520E7"/>
    <w:multiLevelType w:val="multilevel"/>
    <w:tmpl w:val="4E6AC8F6"/>
    <w:numStyleLink w:val="Numberlist"/>
  </w:abstractNum>
  <w:abstractNum w:abstractNumId="3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2"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E116FEC"/>
    <w:multiLevelType w:val="multilevel"/>
    <w:tmpl w:val="1E98FD5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4" w15:restartNumberingAfterBreak="0">
    <w:nsid w:val="2E693641"/>
    <w:multiLevelType w:val="multilevel"/>
    <w:tmpl w:val="3E5E177A"/>
    <w:name w:val="NTG Table Bullet List33"/>
    <w:numStyleLink w:val="Tablenumberlist"/>
  </w:abstractNum>
  <w:abstractNum w:abstractNumId="35" w15:restartNumberingAfterBreak="0">
    <w:nsid w:val="2EF077BC"/>
    <w:multiLevelType w:val="multilevel"/>
    <w:tmpl w:val="0C78A7AC"/>
    <w:name w:val="NTG Table Bullet List33222222222222222222"/>
    <w:numStyleLink w:val="Tablebulletlist"/>
  </w:abstractNum>
  <w:abstractNum w:abstractNumId="36"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7" w15:restartNumberingAfterBreak="0">
    <w:nsid w:val="32DF44DA"/>
    <w:multiLevelType w:val="multilevel"/>
    <w:tmpl w:val="3E5E177A"/>
    <w:name w:val="NTG Table Bullet List3222323"/>
    <w:numStyleLink w:val="Tablenumberlist"/>
  </w:abstractNum>
  <w:abstractNum w:abstractNumId="38" w15:restartNumberingAfterBreak="0">
    <w:nsid w:val="36505EFC"/>
    <w:multiLevelType w:val="hybridMultilevel"/>
    <w:tmpl w:val="67E436D6"/>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3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0" w15:restartNumberingAfterBreak="0">
    <w:nsid w:val="369B078D"/>
    <w:multiLevelType w:val="hybridMultilevel"/>
    <w:tmpl w:val="B19A0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43"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3BE61945"/>
    <w:multiLevelType w:val="multilevel"/>
    <w:tmpl w:val="3928FD02"/>
    <w:name w:val="NTG Table Bullet List332222222222222222"/>
    <w:numStyleLink w:val="Bulletlist"/>
  </w:abstractNum>
  <w:abstractNum w:abstractNumId="45" w15:restartNumberingAfterBreak="0">
    <w:nsid w:val="3D4416CF"/>
    <w:multiLevelType w:val="hybridMultilevel"/>
    <w:tmpl w:val="EC425008"/>
    <w:lvl w:ilvl="0" w:tplc="8DCC5E08">
      <w:start w:val="1"/>
      <w:numFmt w:val="bullet"/>
      <w:lvlText w:val="-"/>
      <w:lvlJc w:val="left"/>
      <w:pPr>
        <w:ind w:left="405" w:hanging="360"/>
      </w:pPr>
      <w:rPr>
        <w:rFonts w:ascii="Lato" w:eastAsia="Calibri" w:hAnsi="Lato"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46" w15:restartNumberingAfterBreak="0">
    <w:nsid w:val="3FA02338"/>
    <w:multiLevelType w:val="hybridMultilevel"/>
    <w:tmpl w:val="C784A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00676E3"/>
    <w:multiLevelType w:val="multilevel"/>
    <w:tmpl w:val="FD1CD746"/>
    <w:numStyleLink w:val="Numberedlist"/>
  </w:abstractNum>
  <w:abstractNum w:abstractNumId="4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49FD3A20"/>
    <w:multiLevelType w:val="multilevel"/>
    <w:tmpl w:val="3E5E177A"/>
    <w:name w:val="NTG Table Bullet List3322222222222"/>
    <w:numStyleLink w:val="Tablenumberlist"/>
  </w:abstractNum>
  <w:abstractNum w:abstractNumId="52" w15:restartNumberingAfterBreak="0">
    <w:nsid w:val="4AE913CB"/>
    <w:multiLevelType w:val="hybridMultilevel"/>
    <w:tmpl w:val="0A7CB3D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1BE3A57"/>
    <w:multiLevelType w:val="hybridMultilevel"/>
    <w:tmpl w:val="C0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2CB786D"/>
    <w:multiLevelType w:val="multilevel"/>
    <w:tmpl w:val="FD1CD746"/>
    <w:numStyleLink w:val="Numberedlist"/>
  </w:abstractNum>
  <w:abstractNum w:abstractNumId="59" w15:restartNumberingAfterBreak="0">
    <w:nsid w:val="53842BC6"/>
    <w:multiLevelType w:val="multilevel"/>
    <w:tmpl w:val="0C78A7AC"/>
    <w:numStyleLink w:val="Tablebulletlist"/>
  </w:abstractNum>
  <w:abstractNum w:abstractNumId="6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1" w15:restartNumberingAfterBreak="0">
    <w:nsid w:val="56497CEA"/>
    <w:multiLevelType w:val="hybridMultilevel"/>
    <w:tmpl w:val="C1488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56DA2CAE"/>
    <w:multiLevelType w:val="multilevel"/>
    <w:tmpl w:val="3E5E177A"/>
    <w:name w:val="NTG Table Bullet List332222222222222"/>
    <w:numStyleLink w:val="Tablenumberlist"/>
  </w:abstractNum>
  <w:abstractNum w:abstractNumId="64" w15:restartNumberingAfterBreak="0">
    <w:nsid w:val="583359D9"/>
    <w:multiLevelType w:val="multilevel"/>
    <w:tmpl w:val="3E5E177A"/>
    <w:name w:val="NTG Table Bullet List332222222"/>
    <w:numStyleLink w:val="Tablenumberlist"/>
  </w:abstractNum>
  <w:abstractNum w:abstractNumId="6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6" w15:restartNumberingAfterBreak="0">
    <w:nsid w:val="58B733D6"/>
    <w:multiLevelType w:val="hybridMultilevel"/>
    <w:tmpl w:val="B61601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8E21323"/>
    <w:multiLevelType w:val="multilevel"/>
    <w:tmpl w:val="4E6AC8F6"/>
    <w:numStyleLink w:val="Numberlist"/>
  </w:abstractNum>
  <w:abstractNum w:abstractNumId="69"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B9A5FFE"/>
    <w:multiLevelType w:val="multilevel"/>
    <w:tmpl w:val="0C78A7AC"/>
    <w:name w:val="NTG Table Bullet List33222222222222"/>
    <w:numStyleLink w:val="Tablebulletlist"/>
  </w:abstractNum>
  <w:abstractNum w:abstractNumId="71" w15:restartNumberingAfterBreak="0">
    <w:nsid w:val="5D444259"/>
    <w:multiLevelType w:val="multilevel"/>
    <w:tmpl w:val="0C78A7AC"/>
    <w:name w:val="NTG Table Bullet List332222"/>
    <w:numStyleLink w:val="Tablebulletlist"/>
  </w:abstractNum>
  <w:abstractNum w:abstractNumId="72"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74"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658A1B8F"/>
    <w:multiLevelType w:val="hybridMultilevel"/>
    <w:tmpl w:val="F6BC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77" w15:restartNumberingAfterBreak="0">
    <w:nsid w:val="67F45928"/>
    <w:multiLevelType w:val="hybridMultilevel"/>
    <w:tmpl w:val="3C30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9262556"/>
    <w:multiLevelType w:val="multilevel"/>
    <w:tmpl w:val="3E5E177A"/>
    <w:name w:val="NTG Table Bullet List3322222222222222"/>
    <w:numStyleLink w:val="Tablenumberlist"/>
  </w:abstractNum>
  <w:abstractNum w:abstractNumId="79" w15:restartNumberingAfterBreak="0">
    <w:nsid w:val="721D14F7"/>
    <w:multiLevelType w:val="hybridMultilevel"/>
    <w:tmpl w:val="EB7EE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453664D"/>
    <w:multiLevelType w:val="multilevel"/>
    <w:tmpl w:val="0C78A7AC"/>
    <w:name w:val="NTG Table Bullet List3322222222222222222"/>
    <w:numStyleLink w:val="Tablebulletlist"/>
  </w:abstractNum>
  <w:abstractNum w:abstractNumId="81" w15:restartNumberingAfterBreak="0">
    <w:nsid w:val="75EB0B5C"/>
    <w:multiLevelType w:val="multilevel"/>
    <w:tmpl w:val="19E49BD8"/>
    <w:lvl w:ilvl="0">
      <w:start w:val="1"/>
      <w:numFmt w:val="decimal"/>
      <w:lvlText w:val="%1."/>
      <w:lvlJc w:val="left"/>
      <w:pPr>
        <w:ind w:left="284" w:hanging="284"/>
      </w:pPr>
      <w:rPr>
        <w:rFonts w:hint="default"/>
        <w:color w:val="auto"/>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color w:val="auto"/>
      </w:rPr>
    </w:lvl>
    <w:lvl w:ilvl="3">
      <w:start w:val="1"/>
      <w:numFmt w:val="bullet"/>
      <w:lvlText w:val=""/>
      <w:lvlJc w:val="left"/>
      <w:pPr>
        <w:ind w:left="1134" w:hanging="283"/>
      </w:pPr>
      <w:rPr>
        <w:rFonts w:ascii="Wingdings" w:hAnsi="Wingdings" w:hint="default"/>
        <w:color w:val="auto"/>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o"/>
      <w:lvlJc w:val="left"/>
      <w:pPr>
        <w:ind w:left="1985" w:hanging="284"/>
      </w:pPr>
      <w:rPr>
        <w:rFonts w:ascii="Courier New" w:hAnsi="Courier New" w:hint="default"/>
        <w:color w:val="auto"/>
      </w:rPr>
    </w:lvl>
    <w:lvl w:ilvl="7">
      <w:start w:val="1"/>
      <w:numFmt w:val="bullet"/>
      <w:lvlText w:val=""/>
      <w:lvlJc w:val="left"/>
      <w:pPr>
        <w:ind w:left="2268" w:hanging="283"/>
      </w:pPr>
      <w:rPr>
        <w:rFonts w:ascii="Wingdings" w:hAnsi="Wingdings" w:hint="default"/>
        <w:color w:val="auto"/>
      </w:rPr>
    </w:lvl>
    <w:lvl w:ilvl="8">
      <w:start w:val="1"/>
      <w:numFmt w:val="bullet"/>
      <w:lvlText w:val=""/>
      <w:lvlJc w:val="left"/>
      <w:pPr>
        <w:ind w:left="2552" w:hanging="284"/>
      </w:pPr>
      <w:rPr>
        <w:rFonts w:ascii="Wingdings" w:hAnsi="Wingdings" w:hint="default"/>
        <w:color w:val="auto"/>
      </w:rPr>
    </w:lvl>
  </w:abstractNum>
  <w:abstractNum w:abstractNumId="82" w15:restartNumberingAfterBreak="0">
    <w:nsid w:val="76141D1E"/>
    <w:multiLevelType w:val="multilevel"/>
    <w:tmpl w:val="0C78A7AC"/>
    <w:name w:val="NTG Table Bullet List332222222222"/>
    <w:numStyleLink w:val="Tablebulletlist"/>
  </w:abstractNum>
  <w:abstractNum w:abstractNumId="83" w15:restartNumberingAfterBreak="0">
    <w:nsid w:val="765A32D4"/>
    <w:multiLevelType w:val="multilevel"/>
    <w:tmpl w:val="4E6AC8F6"/>
    <w:numStyleLink w:val="Numberlist"/>
  </w:abstractNum>
  <w:abstractNum w:abstractNumId="84"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87" w15:restartNumberingAfterBreak="0">
    <w:nsid w:val="7D920B82"/>
    <w:multiLevelType w:val="hybridMultilevel"/>
    <w:tmpl w:val="DB4C7B5A"/>
    <w:lvl w:ilvl="0" w:tplc="C4207272">
      <w:start w:val="2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89" w15:restartNumberingAfterBreak="0">
    <w:nsid w:val="7F6C13F4"/>
    <w:multiLevelType w:val="hybridMultilevel"/>
    <w:tmpl w:val="51988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24"/>
  </w:num>
  <w:num w:numId="3">
    <w:abstractNumId w:val="86"/>
  </w:num>
  <w:num w:numId="4">
    <w:abstractNumId w:val="53"/>
  </w:num>
  <w:num w:numId="5">
    <w:abstractNumId w:val="31"/>
  </w:num>
  <w:num w:numId="6">
    <w:abstractNumId w:val="16"/>
  </w:num>
  <w:num w:numId="7">
    <w:abstractNumId w:val="59"/>
  </w:num>
  <w:num w:numId="8">
    <w:abstractNumId w:val="28"/>
  </w:num>
  <w:num w:numId="9">
    <w:abstractNumId w:val="68"/>
  </w:num>
  <w:num w:numId="10">
    <w:abstractNumId w:val="21"/>
  </w:num>
  <w:num w:numId="11">
    <w:abstractNumId w:val="74"/>
  </w:num>
  <w:num w:numId="12">
    <w:abstractNumId w:val="18"/>
  </w:num>
  <w:num w:numId="13">
    <w:abstractNumId w:val="2"/>
  </w:num>
  <w:num w:numId="14">
    <w:abstractNumId w:val="72"/>
  </w:num>
  <w:num w:numId="15">
    <w:abstractNumId w:val="30"/>
  </w:num>
  <w:num w:numId="16">
    <w:abstractNumId w:val="73"/>
  </w:num>
  <w:num w:numId="17">
    <w:abstractNumId w:val="83"/>
  </w:num>
  <w:num w:numId="18">
    <w:abstractNumId w:val="67"/>
  </w:num>
  <w:num w:numId="19">
    <w:abstractNumId w:val="57"/>
  </w:num>
  <w:num w:numId="20">
    <w:abstractNumId w:val="62"/>
  </w:num>
  <w:num w:numId="21">
    <w:abstractNumId w:val="48"/>
  </w:num>
  <w:num w:numId="22">
    <w:abstractNumId w:val="65"/>
  </w:num>
  <w:num w:numId="23">
    <w:abstractNumId w:val="55"/>
  </w:num>
  <w:num w:numId="24">
    <w:abstractNumId w:val="50"/>
  </w:num>
  <w:num w:numId="25">
    <w:abstractNumId w:val="43"/>
  </w:num>
  <w:num w:numId="26">
    <w:abstractNumId w:val="12"/>
  </w:num>
  <w:num w:numId="27">
    <w:abstractNumId w:val="84"/>
  </w:num>
  <w:num w:numId="28">
    <w:abstractNumId w:val="42"/>
  </w:num>
  <w:num w:numId="29">
    <w:abstractNumId w:val="32"/>
  </w:num>
  <w:num w:numId="30">
    <w:abstractNumId w:val="1"/>
  </w:num>
  <w:num w:numId="31">
    <w:abstractNumId w:val="49"/>
  </w:num>
  <w:num w:numId="32">
    <w:abstractNumId w:val="11"/>
  </w:num>
  <w:num w:numId="33">
    <w:abstractNumId w:val="76"/>
  </w:num>
  <w:num w:numId="34">
    <w:abstractNumId w:val="36"/>
  </w:num>
  <w:num w:numId="35">
    <w:abstractNumId w:val="85"/>
  </w:num>
  <w:num w:numId="36">
    <w:abstractNumId w:val="69"/>
  </w:num>
  <w:num w:numId="37">
    <w:abstractNumId w:val="6"/>
  </w:num>
  <w:num w:numId="38">
    <w:abstractNumId w:val="41"/>
  </w:num>
  <w:num w:numId="39">
    <w:abstractNumId w:val="58"/>
  </w:num>
  <w:num w:numId="40">
    <w:abstractNumId w:val="47"/>
  </w:num>
  <w:num w:numId="41">
    <w:abstractNumId w:val="4"/>
  </w:num>
  <w:num w:numId="42">
    <w:abstractNumId w:val="33"/>
  </w:num>
  <w:num w:numId="43">
    <w:abstractNumId w:val="59"/>
  </w:num>
  <w:num w:numId="44">
    <w:abstractNumId w:val="59"/>
  </w:num>
  <w:num w:numId="45">
    <w:abstractNumId w:val="59"/>
  </w:num>
  <w:num w:numId="46">
    <w:abstractNumId w:val="81"/>
  </w:num>
  <w:num w:numId="47">
    <w:abstractNumId w:val="59"/>
  </w:num>
  <w:num w:numId="48">
    <w:abstractNumId w:val="79"/>
  </w:num>
  <w:num w:numId="49">
    <w:abstractNumId w:val="25"/>
  </w:num>
  <w:num w:numId="50">
    <w:abstractNumId w:val="46"/>
  </w:num>
  <w:num w:numId="51">
    <w:abstractNumId w:val="89"/>
  </w:num>
  <w:num w:numId="52">
    <w:abstractNumId w:val="13"/>
  </w:num>
  <w:num w:numId="53">
    <w:abstractNumId w:val="61"/>
  </w:num>
  <w:num w:numId="54">
    <w:abstractNumId w:val="45"/>
  </w:num>
  <w:num w:numId="55">
    <w:abstractNumId w:val="3"/>
  </w:num>
  <w:num w:numId="56">
    <w:abstractNumId w:val="38"/>
  </w:num>
  <w:num w:numId="57">
    <w:abstractNumId w:val="75"/>
  </w:num>
  <w:num w:numId="58">
    <w:abstractNumId w:val="56"/>
  </w:num>
  <w:num w:numId="59">
    <w:abstractNumId w:val="0"/>
  </w:num>
  <w:num w:numId="60">
    <w:abstractNumId w:val="77"/>
  </w:num>
  <w:num w:numId="61">
    <w:abstractNumId w:val="52"/>
  </w:num>
  <w:num w:numId="62">
    <w:abstractNumId w:val="86"/>
  </w:num>
  <w:num w:numId="63">
    <w:abstractNumId w:val="87"/>
  </w:num>
  <w:num w:numId="64">
    <w:abstractNumId w:val="22"/>
  </w:num>
  <w:num w:numId="65">
    <w:abstractNumId w:val="29"/>
  </w:num>
  <w:num w:numId="66">
    <w:abstractNumId w:val="40"/>
  </w:num>
  <w:num w:numId="67">
    <w:abstractNumId w:val="23"/>
  </w:num>
  <w:num w:numId="68">
    <w:abstractNumId w:val="6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B08" w:allStyles="0" w:customStyles="0" w:latentStyles="0" w:stylesInUse="1" w:headingStyles="0" w:numberingStyles="0" w:tableStyles="0" w:directFormattingOnRuns="1" w:directFormattingOnParagraphs="1" w:directFormattingOnNumbering="0" w:directFormattingOnTables="1" w:clearFormatting="1" w:top3HeadingStyles="0" w:visibleStyles="0" w:alternateStyleNames="1"/>
  <w:defaultTabStop w:val="284"/>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86"/>
    <w:rsid w:val="000010C8"/>
    <w:rsid w:val="00001DDF"/>
    <w:rsid w:val="0000322D"/>
    <w:rsid w:val="000060B8"/>
    <w:rsid w:val="00007670"/>
    <w:rsid w:val="00007EE5"/>
    <w:rsid w:val="00010665"/>
    <w:rsid w:val="00012DCA"/>
    <w:rsid w:val="00016587"/>
    <w:rsid w:val="00017317"/>
    <w:rsid w:val="00021735"/>
    <w:rsid w:val="000238B4"/>
    <w:rsid w:val="0002393A"/>
    <w:rsid w:val="00024831"/>
    <w:rsid w:val="000270B9"/>
    <w:rsid w:val="000276B0"/>
    <w:rsid w:val="00027DB8"/>
    <w:rsid w:val="000307A7"/>
    <w:rsid w:val="000314D8"/>
    <w:rsid w:val="00031A96"/>
    <w:rsid w:val="000326C1"/>
    <w:rsid w:val="000404B2"/>
    <w:rsid w:val="00040BF3"/>
    <w:rsid w:val="0004562E"/>
    <w:rsid w:val="000469C3"/>
    <w:rsid w:val="00046C59"/>
    <w:rsid w:val="00047697"/>
    <w:rsid w:val="00050358"/>
    <w:rsid w:val="00051362"/>
    <w:rsid w:val="00051F45"/>
    <w:rsid w:val="00052953"/>
    <w:rsid w:val="0005341A"/>
    <w:rsid w:val="00055B94"/>
    <w:rsid w:val="00056DEF"/>
    <w:rsid w:val="00061F6E"/>
    <w:rsid w:val="000629D9"/>
    <w:rsid w:val="00064525"/>
    <w:rsid w:val="0006730F"/>
    <w:rsid w:val="000674AD"/>
    <w:rsid w:val="000720BE"/>
    <w:rsid w:val="0007259C"/>
    <w:rsid w:val="00072AA8"/>
    <w:rsid w:val="00074075"/>
    <w:rsid w:val="00080202"/>
    <w:rsid w:val="00080DCD"/>
    <w:rsid w:val="00080E22"/>
    <w:rsid w:val="000817D7"/>
    <w:rsid w:val="00082573"/>
    <w:rsid w:val="00083416"/>
    <w:rsid w:val="000840A3"/>
    <w:rsid w:val="000843E3"/>
    <w:rsid w:val="00085062"/>
    <w:rsid w:val="000856A3"/>
    <w:rsid w:val="00086372"/>
    <w:rsid w:val="00086A5F"/>
    <w:rsid w:val="00090469"/>
    <w:rsid w:val="000911EF"/>
    <w:rsid w:val="0009483F"/>
    <w:rsid w:val="000962C5"/>
    <w:rsid w:val="000A4317"/>
    <w:rsid w:val="000A4E47"/>
    <w:rsid w:val="000A559C"/>
    <w:rsid w:val="000A5EDE"/>
    <w:rsid w:val="000B0337"/>
    <w:rsid w:val="000B280D"/>
    <w:rsid w:val="000B2A5C"/>
    <w:rsid w:val="000B2CA1"/>
    <w:rsid w:val="000B4BEC"/>
    <w:rsid w:val="000B4DAA"/>
    <w:rsid w:val="000B6307"/>
    <w:rsid w:val="000B6E48"/>
    <w:rsid w:val="000B75C4"/>
    <w:rsid w:val="000C4CD4"/>
    <w:rsid w:val="000C51C9"/>
    <w:rsid w:val="000C6071"/>
    <w:rsid w:val="000D1D74"/>
    <w:rsid w:val="000D1F29"/>
    <w:rsid w:val="000D53B2"/>
    <w:rsid w:val="000D633D"/>
    <w:rsid w:val="000D696D"/>
    <w:rsid w:val="000E0962"/>
    <w:rsid w:val="000E342B"/>
    <w:rsid w:val="000E38FB"/>
    <w:rsid w:val="000E4D2B"/>
    <w:rsid w:val="000E4DA4"/>
    <w:rsid w:val="000E5DD2"/>
    <w:rsid w:val="000F0B8A"/>
    <w:rsid w:val="000F1007"/>
    <w:rsid w:val="000F1C53"/>
    <w:rsid w:val="000F213B"/>
    <w:rsid w:val="000F2958"/>
    <w:rsid w:val="000F4805"/>
    <w:rsid w:val="000F54DA"/>
    <w:rsid w:val="000F7754"/>
    <w:rsid w:val="00100A74"/>
    <w:rsid w:val="00100DF7"/>
    <w:rsid w:val="00102928"/>
    <w:rsid w:val="00104E7F"/>
    <w:rsid w:val="001137EC"/>
    <w:rsid w:val="001152F5"/>
    <w:rsid w:val="00115AA8"/>
    <w:rsid w:val="00115C6B"/>
    <w:rsid w:val="0011688A"/>
    <w:rsid w:val="00117743"/>
    <w:rsid w:val="00117F5B"/>
    <w:rsid w:val="0012041F"/>
    <w:rsid w:val="00121705"/>
    <w:rsid w:val="001230E3"/>
    <w:rsid w:val="00131983"/>
    <w:rsid w:val="00132658"/>
    <w:rsid w:val="00137081"/>
    <w:rsid w:val="00143CE7"/>
    <w:rsid w:val="001452D2"/>
    <w:rsid w:val="00145B17"/>
    <w:rsid w:val="00145BBF"/>
    <w:rsid w:val="0014698C"/>
    <w:rsid w:val="00147DED"/>
    <w:rsid w:val="00150DC0"/>
    <w:rsid w:val="00150F21"/>
    <w:rsid w:val="00154E61"/>
    <w:rsid w:val="00156A49"/>
    <w:rsid w:val="00156CD4"/>
    <w:rsid w:val="00161CC6"/>
    <w:rsid w:val="00164A3E"/>
    <w:rsid w:val="00166FF6"/>
    <w:rsid w:val="001714C9"/>
    <w:rsid w:val="0017164B"/>
    <w:rsid w:val="0017235C"/>
    <w:rsid w:val="00172C77"/>
    <w:rsid w:val="00175AA0"/>
    <w:rsid w:val="00176123"/>
    <w:rsid w:val="00180426"/>
    <w:rsid w:val="00181620"/>
    <w:rsid w:val="00182896"/>
    <w:rsid w:val="00186E5B"/>
    <w:rsid w:val="00190155"/>
    <w:rsid w:val="001957AD"/>
    <w:rsid w:val="001958B7"/>
    <w:rsid w:val="00195F7F"/>
    <w:rsid w:val="001A0FA5"/>
    <w:rsid w:val="001A2B7F"/>
    <w:rsid w:val="001A3AFD"/>
    <w:rsid w:val="001A496C"/>
    <w:rsid w:val="001A6304"/>
    <w:rsid w:val="001B037A"/>
    <w:rsid w:val="001B1795"/>
    <w:rsid w:val="001B2B6C"/>
    <w:rsid w:val="001B2FB8"/>
    <w:rsid w:val="001B5498"/>
    <w:rsid w:val="001C34A2"/>
    <w:rsid w:val="001C4B81"/>
    <w:rsid w:val="001D01C4"/>
    <w:rsid w:val="001D02F4"/>
    <w:rsid w:val="001D52B0"/>
    <w:rsid w:val="001D5A18"/>
    <w:rsid w:val="001D7AA2"/>
    <w:rsid w:val="001D7CA4"/>
    <w:rsid w:val="001E057F"/>
    <w:rsid w:val="001E14EB"/>
    <w:rsid w:val="001E18D2"/>
    <w:rsid w:val="001E1D4D"/>
    <w:rsid w:val="001E4109"/>
    <w:rsid w:val="001E5398"/>
    <w:rsid w:val="001F2448"/>
    <w:rsid w:val="001F3977"/>
    <w:rsid w:val="001F59E6"/>
    <w:rsid w:val="00202014"/>
    <w:rsid w:val="00206936"/>
    <w:rsid w:val="00206C6F"/>
    <w:rsid w:val="00206FBD"/>
    <w:rsid w:val="00207746"/>
    <w:rsid w:val="0021449D"/>
    <w:rsid w:val="00215936"/>
    <w:rsid w:val="00216187"/>
    <w:rsid w:val="00221220"/>
    <w:rsid w:val="00222900"/>
    <w:rsid w:val="00222D59"/>
    <w:rsid w:val="0022365C"/>
    <w:rsid w:val="00230031"/>
    <w:rsid w:val="00232B01"/>
    <w:rsid w:val="00235C01"/>
    <w:rsid w:val="00235FFD"/>
    <w:rsid w:val="00236878"/>
    <w:rsid w:val="00240CA8"/>
    <w:rsid w:val="002428A6"/>
    <w:rsid w:val="00247343"/>
    <w:rsid w:val="00247538"/>
    <w:rsid w:val="00251EF1"/>
    <w:rsid w:val="00260656"/>
    <w:rsid w:val="00260B91"/>
    <w:rsid w:val="00261F8B"/>
    <w:rsid w:val="00264C90"/>
    <w:rsid w:val="00265C56"/>
    <w:rsid w:val="002666A4"/>
    <w:rsid w:val="00266A60"/>
    <w:rsid w:val="002716CD"/>
    <w:rsid w:val="00272232"/>
    <w:rsid w:val="00274D4B"/>
    <w:rsid w:val="002806F5"/>
    <w:rsid w:val="00281577"/>
    <w:rsid w:val="002815EB"/>
    <w:rsid w:val="00281983"/>
    <w:rsid w:val="002826B2"/>
    <w:rsid w:val="0028370B"/>
    <w:rsid w:val="00284BD6"/>
    <w:rsid w:val="00285623"/>
    <w:rsid w:val="00286D8E"/>
    <w:rsid w:val="00290993"/>
    <w:rsid w:val="002926BC"/>
    <w:rsid w:val="00293A72"/>
    <w:rsid w:val="00295F45"/>
    <w:rsid w:val="00296C7E"/>
    <w:rsid w:val="002A0160"/>
    <w:rsid w:val="002A17A1"/>
    <w:rsid w:val="002A2976"/>
    <w:rsid w:val="002A2C13"/>
    <w:rsid w:val="002A30C3"/>
    <w:rsid w:val="002A35DB"/>
    <w:rsid w:val="002A6F6A"/>
    <w:rsid w:val="002A7712"/>
    <w:rsid w:val="002B0025"/>
    <w:rsid w:val="002B0D83"/>
    <w:rsid w:val="002B0E7F"/>
    <w:rsid w:val="002B38F7"/>
    <w:rsid w:val="002B4C0D"/>
    <w:rsid w:val="002B5591"/>
    <w:rsid w:val="002B5AAB"/>
    <w:rsid w:val="002B5DD5"/>
    <w:rsid w:val="002B6AA4"/>
    <w:rsid w:val="002B7606"/>
    <w:rsid w:val="002C0293"/>
    <w:rsid w:val="002C0B0F"/>
    <w:rsid w:val="002C1FE9"/>
    <w:rsid w:val="002C44C5"/>
    <w:rsid w:val="002C69F6"/>
    <w:rsid w:val="002D2F2F"/>
    <w:rsid w:val="002D3A57"/>
    <w:rsid w:val="002D4EA9"/>
    <w:rsid w:val="002D7D05"/>
    <w:rsid w:val="002E03BD"/>
    <w:rsid w:val="002E20C8"/>
    <w:rsid w:val="002E37A5"/>
    <w:rsid w:val="002E3C99"/>
    <w:rsid w:val="002E4290"/>
    <w:rsid w:val="002E4FC2"/>
    <w:rsid w:val="002E5B94"/>
    <w:rsid w:val="002E66A6"/>
    <w:rsid w:val="002F0DB1"/>
    <w:rsid w:val="002F1F24"/>
    <w:rsid w:val="002F2486"/>
    <w:rsid w:val="002F25F4"/>
    <w:rsid w:val="002F2885"/>
    <w:rsid w:val="002F3CF1"/>
    <w:rsid w:val="002F45A1"/>
    <w:rsid w:val="003019C8"/>
    <w:rsid w:val="003021AE"/>
    <w:rsid w:val="00302DF6"/>
    <w:rsid w:val="003037F9"/>
    <w:rsid w:val="0030583E"/>
    <w:rsid w:val="00307FE1"/>
    <w:rsid w:val="003146C6"/>
    <w:rsid w:val="0031508D"/>
    <w:rsid w:val="003164BA"/>
    <w:rsid w:val="00317C3B"/>
    <w:rsid w:val="003216EA"/>
    <w:rsid w:val="003223FE"/>
    <w:rsid w:val="00323A8B"/>
    <w:rsid w:val="003258E6"/>
    <w:rsid w:val="00330508"/>
    <w:rsid w:val="003337C9"/>
    <w:rsid w:val="003353EC"/>
    <w:rsid w:val="0033596E"/>
    <w:rsid w:val="00342283"/>
    <w:rsid w:val="00343A87"/>
    <w:rsid w:val="00344A36"/>
    <w:rsid w:val="003456F4"/>
    <w:rsid w:val="00347C6B"/>
    <w:rsid w:val="00347FB6"/>
    <w:rsid w:val="003504FD"/>
    <w:rsid w:val="00350881"/>
    <w:rsid w:val="003510C1"/>
    <w:rsid w:val="00353219"/>
    <w:rsid w:val="00353B19"/>
    <w:rsid w:val="00356C90"/>
    <w:rsid w:val="003576DD"/>
    <w:rsid w:val="00357D55"/>
    <w:rsid w:val="00363513"/>
    <w:rsid w:val="003657E5"/>
    <w:rsid w:val="0036589C"/>
    <w:rsid w:val="00365A97"/>
    <w:rsid w:val="003665A6"/>
    <w:rsid w:val="00366D8A"/>
    <w:rsid w:val="003702F2"/>
    <w:rsid w:val="00371312"/>
    <w:rsid w:val="00371DC7"/>
    <w:rsid w:val="0037322F"/>
    <w:rsid w:val="00374B50"/>
    <w:rsid w:val="00374C15"/>
    <w:rsid w:val="003765C6"/>
    <w:rsid w:val="00376BF0"/>
    <w:rsid w:val="00377B21"/>
    <w:rsid w:val="00381E14"/>
    <w:rsid w:val="003849B2"/>
    <w:rsid w:val="00386456"/>
    <w:rsid w:val="00386C8F"/>
    <w:rsid w:val="00390CE3"/>
    <w:rsid w:val="00394876"/>
    <w:rsid w:val="00394AAF"/>
    <w:rsid w:val="00394B4B"/>
    <w:rsid w:val="00394CE5"/>
    <w:rsid w:val="0039625D"/>
    <w:rsid w:val="003962B0"/>
    <w:rsid w:val="003A2B97"/>
    <w:rsid w:val="003A4FC0"/>
    <w:rsid w:val="003A5E8E"/>
    <w:rsid w:val="003A6341"/>
    <w:rsid w:val="003B173F"/>
    <w:rsid w:val="003B3760"/>
    <w:rsid w:val="003B67FD"/>
    <w:rsid w:val="003B6A61"/>
    <w:rsid w:val="003B7ADA"/>
    <w:rsid w:val="003B7FA3"/>
    <w:rsid w:val="003C2787"/>
    <w:rsid w:val="003C5E34"/>
    <w:rsid w:val="003C72B5"/>
    <w:rsid w:val="003D076E"/>
    <w:rsid w:val="003D3079"/>
    <w:rsid w:val="003D3850"/>
    <w:rsid w:val="003D42C0"/>
    <w:rsid w:val="003D48E3"/>
    <w:rsid w:val="003D4BD8"/>
    <w:rsid w:val="003D5B29"/>
    <w:rsid w:val="003D5E8B"/>
    <w:rsid w:val="003D7818"/>
    <w:rsid w:val="003E06A1"/>
    <w:rsid w:val="003E2445"/>
    <w:rsid w:val="003E3BB2"/>
    <w:rsid w:val="003E6F5D"/>
    <w:rsid w:val="003F0E1F"/>
    <w:rsid w:val="003F33DC"/>
    <w:rsid w:val="003F5B58"/>
    <w:rsid w:val="00401D7B"/>
    <w:rsid w:val="0040222A"/>
    <w:rsid w:val="00402911"/>
    <w:rsid w:val="0040461C"/>
    <w:rsid w:val="004047BC"/>
    <w:rsid w:val="00405DFC"/>
    <w:rsid w:val="00406497"/>
    <w:rsid w:val="004064BF"/>
    <w:rsid w:val="00406DBC"/>
    <w:rsid w:val="004100F7"/>
    <w:rsid w:val="004113E1"/>
    <w:rsid w:val="00412BB0"/>
    <w:rsid w:val="004139B1"/>
    <w:rsid w:val="004145BF"/>
    <w:rsid w:val="00414CB3"/>
    <w:rsid w:val="0041563D"/>
    <w:rsid w:val="00417CA5"/>
    <w:rsid w:val="00417E19"/>
    <w:rsid w:val="00420CF5"/>
    <w:rsid w:val="00422874"/>
    <w:rsid w:val="00424C31"/>
    <w:rsid w:val="00426E25"/>
    <w:rsid w:val="004278A8"/>
    <w:rsid w:val="00427D4B"/>
    <w:rsid w:val="00427D9C"/>
    <w:rsid w:val="00427E7E"/>
    <w:rsid w:val="00430628"/>
    <w:rsid w:val="004321A5"/>
    <w:rsid w:val="00434681"/>
    <w:rsid w:val="004354F3"/>
    <w:rsid w:val="0043635A"/>
    <w:rsid w:val="00436FF1"/>
    <w:rsid w:val="004405CC"/>
    <w:rsid w:val="00440A9A"/>
    <w:rsid w:val="00441CE4"/>
    <w:rsid w:val="004421E1"/>
    <w:rsid w:val="004433AE"/>
    <w:rsid w:val="004434A5"/>
    <w:rsid w:val="00443B6E"/>
    <w:rsid w:val="00445B2B"/>
    <w:rsid w:val="00446AA8"/>
    <w:rsid w:val="00451CF3"/>
    <w:rsid w:val="004521CB"/>
    <w:rsid w:val="0045287E"/>
    <w:rsid w:val="0045420A"/>
    <w:rsid w:val="004554D4"/>
    <w:rsid w:val="00460113"/>
    <w:rsid w:val="004616FB"/>
    <w:rsid w:val="00461744"/>
    <w:rsid w:val="00461C30"/>
    <w:rsid w:val="00462BDC"/>
    <w:rsid w:val="00465730"/>
    <w:rsid w:val="00466185"/>
    <w:rsid w:val="004668A7"/>
    <w:rsid w:val="00466D96"/>
    <w:rsid w:val="00467277"/>
    <w:rsid w:val="00467747"/>
    <w:rsid w:val="004732D9"/>
    <w:rsid w:val="00473C98"/>
    <w:rsid w:val="0047452B"/>
    <w:rsid w:val="00474965"/>
    <w:rsid w:val="004751BC"/>
    <w:rsid w:val="0047577C"/>
    <w:rsid w:val="004765DB"/>
    <w:rsid w:val="00477FB3"/>
    <w:rsid w:val="004816C7"/>
    <w:rsid w:val="00482DF8"/>
    <w:rsid w:val="00485535"/>
    <w:rsid w:val="004864DE"/>
    <w:rsid w:val="00492971"/>
    <w:rsid w:val="00494BE5"/>
    <w:rsid w:val="00497C16"/>
    <w:rsid w:val="004A0EBA"/>
    <w:rsid w:val="004A1535"/>
    <w:rsid w:val="004A19DF"/>
    <w:rsid w:val="004A2538"/>
    <w:rsid w:val="004A2835"/>
    <w:rsid w:val="004A5016"/>
    <w:rsid w:val="004A61FD"/>
    <w:rsid w:val="004B0C15"/>
    <w:rsid w:val="004B0DBA"/>
    <w:rsid w:val="004B35EA"/>
    <w:rsid w:val="004B68CE"/>
    <w:rsid w:val="004B69E4"/>
    <w:rsid w:val="004B7373"/>
    <w:rsid w:val="004C00B9"/>
    <w:rsid w:val="004C1C63"/>
    <w:rsid w:val="004C2BF4"/>
    <w:rsid w:val="004C6C39"/>
    <w:rsid w:val="004C7119"/>
    <w:rsid w:val="004C7A32"/>
    <w:rsid w:val="004D075F"/>
    <w:rsid w:val="004D1B76"/>
    <w:rsid w:val="004D344E"/>
    <w:rsid w:val="004D3A99"/>
    <w:rsid w:val="004D512C"/>
    <w:rsid w:val="004D74CB"/>
    <w:rsid w:val="004D7EE5"/>
    <w:rsid w:val="004E019E"/>
    <w:rsid w:val="004E0212"/>
    <w:rsid w:val="004E06EC"/>
    <w:rsid w:val="004E08B3"/>
    <w:rsid w:val="004E0FD7"/>
    <w:rsid w:val="004E1495"/>
    <w:rsid w:val="004E1819"/>
    <w:rsid w:val="004E2CB7"/>
    <w:rsid w:val="004E31D1"/>
    <w:rsid w:val="004E6421"/>
    <w:rsid w:val="004E7885"/>
    <w:rsid w:val="004E7942"/>
    <w:rsid w:val="004F016A"/>
    <w:rsid w:val="004F2206"/>
    <w:rsid w:val="004F24AD"/>
    <w:rsid w:val="00500F94"/>
    <w:rsid w:val="00501EFE"/>
    <w:rsid w:val="00502FB3"/>
    <w:rsid w:val="00503741"/>
    <w:rsid w:val="00503B62"/>
    <w:rsid w:val="00503DE9"/>
    <w:rsid w:val="005048B1"/>
    <w:rsid w:val="0050530C"/>
    <w:rsid w:val="005059B3"/>
    <w:rsid w:val="00505DEA"/>
    <w:rsid w:val="00507782"/>
    <w:rsid w:val="00507CC0"/>
    <w:rsid w:val="00512A04"/>
    <w:rsid w:val="00513D17"/>
    <w:rsid w:val="00515159"/>
    <w:rsid w:val="00516F2C"/>
    <w:rsid w:val="005200C4"/>
    <w:rsid w:val="005249F5"/>
    <w:rsid w:val="00525096"/>
    <w:rsid w:val="005260F7"/>
    <w:rsid w:val="00526B82"/>
    <w:rsid w:val="00533CC3"/>
    <w:rsid w:val="00535454"/>
    <w:rsid w:val="00540DD0"/>
    <w:rsid w:val="00543BD1"/>
    <w:rsid w:val="0054459D"/>
    <w:rsid w:val="005457BE"/>
    <w:rsid w:val="00546D7E"/>
    <w:rsid w:val="00546E7A"/>
    <w:rsid w:val="0055424E"/>
    <w:rsid w:val="00556113"/>
    <w:rsid w:val="005628BB"/>
    <w:rsid w:val="00564C12"/>
    <w:rsid w:val="005654B8"/>
    <w:rsid w:val="00571999"/>
    <w:rsid w:val="005729DE"/>
    <w:rsid w:val="0057377F"/>
    <w:rsid w:val="00575649"/>
    <w:rsid w:val="00575F91"/>
    <w:rsid w:val="005762CC"/>
    <w:rsid w:val="005776DA"/>
    <w:rsid w:val="005828E8"/>
    <w:rsid w:val="00582D3D"/>
    <w:rsid w:val="00583889"/>
    <w:rsid w:val="00583E2C"/>
    <w:rsid w:val="005870EB"/>
    <w:rsid w:val="00587184"/>
    <w:rsid w:val="0059173B"/>
    <w:rsid w:val="00591ECF"/>
    <w:rsid w:val="00592571"/>
    <w:rsid w:val="00594C54"/>
    <w:rsid w:val="00595386"/>
    <w:rsid w:val="005953B0"/>
    <w:rsid w:val="005A044D"/>
    <w:rsid w:val="005A0604"/>
    <w:rsid w:val="005A3621"/>
    <w:rsid w:val="005A4AC0"/>
    <w:rsid w:val="005A5A44"/>
    <w:rsid w:val="005A5FDF"/>
    <w:rsid w:val="005A77B8"/>
    <w:rsid w:val="005B0FB7"/>
    <w:rsid w:val="005B122A"/>
    <w:rsid w:val="005B14C1"/>
    <w:rsid w:val="005B2DF5"/>
    <w:rsid w:val="005B58B2"/>
    <w:rsid w:val="005B5AC2"/>
    <w:rsid w:val="005B5FF5"/>
    <w:rsid w:val="005C2833"/>
    <w:rsid w:val="005C768A"/>
    <w:rsid w:val="005C775A"/>
    <w:rsid w:val="005D1B3A"/>
    <w:rsid w:val="005D2297"/>
    <w:rsid w:val="005D2514"/>
    <w:rsid w:val="005D48FD"/>
    <w:rsid w:val="005D591B"/>
    <w:rsid w:val="005E0CD1"/>
    <w:rsid w:val="005E11B5"/>
    <w:rsid w:val="005E144D"/>
    <w:rsid w:val="005E1500"/>
    <w:rsid w:val="005E3A43"/>
    <w:rsid w:val="005E4A9D"/>
    <w:rsid w:val="005E51A4"/>
    <w:rsid w:val="005E67C5"/>
    <w:rsid w:val="005E7AAC"/>
    <w:rsid w:val="005F0D6D"/>
    <w:rsid w:val="005F6F68"/>
    <w:rsid w:val="005F77C7"/>
    <w:rsid w:val="00600377"/>
    <w:rsid w:val="00600E97"/>
    <w:rsid w:val="00607438"/>
    <w:rsid w:val="00614E08"/>
    <w:rsid w:val="00616D9F"/>
    <w:rsid w:val="00620675"/>
    <w:rsid w:val="006222A5"/>
    <w:rsid w:val="00622910"/>
    <w:rsid w:val="00622E24"/>
    <w:rsid w:val="00624C52"/>
    <w:rsid w:val="00626A27"/>
    <w:rsid w:val="0062752D"/>
    <w:rsid w:val="00631143"/>
    <w:rsid w:val="0063127A"/>
    <w:rsid w:val="00632610"/>
    <w:rsid w:val="00632E42"/>
    <w:rsid w:val="006372A1"/>
    <w:rsid w:val="00637B1D"/>
    <w:rsid w:val="00642EE0"/>
    <w:rsid w:val="006433C3"/>
    <w:rsid w:val="00643AE7"/>
    <w:rsid w:val="00645719"/>
    <w:rsid w:val="00647A09"/>
    <w:rsid w:val="00647A30"/>
    <w:rsid w:val="00650F5B"/>
    <w:rsid w:val="00651F44"/>
    <w:rsid w:val="0065256F"/>
    <w:rsid w:val="00652DC0"/>
    <w:rsid w:val="0065688B"/>
    <w:rsid w:val="0066032C"/>
    <w:rsid w:val="00660584"/>
    <w:rsid w:val="006645B8"/>
    <w:rsid w:val="00666580"/>
    <w:rsid w:val="006670D7"/>
    <w:rsid w:val="00667797"/>
    <w:rsid w:val="006719EA"/>
    <w:rsid w:val="00671F13"/>
    <w:rsid w:val="0067400A"/>
    <w:rsid w:val="006747E0"/>
    <w:rsid w:val="00674AA5"/>
    <w:rsid w:val="006847AD"/>
    <w:rsid w:val="00687A08"/>
    <w:rsid w:val="0069006B"/>
    <w:rsid w:val="0069114B"/>
    <w:rsid w:val="00695DC4"/>
    <w:rsid w:val="00696DEA"/>
    <w:rsid w:val="006A2948"/>
    <w:rsid w:val="006A5470"/>
    <w:rsid w:val="006A756A"/>
    <w:rsid w:val="006B3C4E"/>
    <w:rsid w:val="006B69DD"/>
    <w:rsid w:val="006B6EEF"/>
    <w:rsid w:val="006C396A"/>
    <w:rsid w:val="006D0175"/>
    <w:rsid w:val="006D1ADA"/>
    <w:rsid w:val="006D3B89"/>
    <w:rsid w:val="006D45B6"/>
    <w:rsid w:val="006D5BF6"/>
    <w:rsid w:val="006D66F7"/>
    <w:rsid w:val="006E145F"/>
    <w:rsid w:val="006E3074"/>
    <w:rsid w:val="006E3B5D"/>
    <w:rsid w:val="006E65DF"/>
    <w:rsid w:val="006E6A8B"/>
    <w:rsid w:val="006F19DD"/>
    <w:rsid w:val="006F19EF"/>
    <w:rsid w:val="006F3A9F"/>
    <w:rsid w:val="006F58EB"/>
    <w:rsid w:val="006F7295"/>
    <w:rsid w:val="00702750"/>
    <w:rsid w:val="00702D61"/>
    <w:rsid w:val="0070423D"/>
    <w:rsid w:val="00705C9D"/>
    <w:rsid w:val="00705F13"/>
    <w:rsid w:val="007109A1"/>
    <w:rsid w:val="00712E78"/>
    <w:rsid w:val="00714F1D"/>
    <w:rsid w:val="00715225"/>
    <w:rsid w:val="007152B8"/>
    <w:rsid w:val="00715D78"/>
    <w:rsid w:val="0071608C"/>
    <w:rsid w:val="0071629D"/>
    <w:rsid w:val="007169C6"/>
    <w:rsid w:val="00717C37"/>
    <w:rsid w:val="00720CC6"/>
    <w:rsid w:val="00722DDB"/>
    <w:rsid w:val="00724728"/>
    <w:rsid w:val="00724F98"/>
    <w:rsid w:val="00730B9B"/>
    <w:rsid w:val="0073182E"/>
    <w:rsid w:val="007332FF"/>
    <w:rsid w:val="00734B49"/>
    <w:rsid w:val="00734F85"/>
    <w:rsid w:val="00735A05"/>
    <w:rsid w:val="00737110"/>
    <w:rsid w:val="007408F5"/>
    <w:rsid w:val="00741EAE"/>
    <w:rsid w:val="007445C8"/>
    <w:rsid w:val="0075080B"/>
    <w:rsid w:val="00752D7E"/>
    <w:rsid w:val="00753B60"/>
    <w:rsid w:val="007546CB"/>
    <w:rsid w:val="007551E1"/>
    <w:rsid w:val="00755248"/>
    <w:rsid w:val="007557E0"/>
    <w:rsid w:val="00756D86"/>
    <w:rsid w:val="00760F09"/>
    <w:rsid w:val="0076190B"/>
    <w:rsid w:val="0076355D"/>
    <w:rsid w:val="00763A2D"/>
    <w:rsid w:val="00764775"/>
    <w:rsid w:val="00765778"/>
    <w:rsid w:val="00767C6C"/>
    <w:rsid w:val="007709F4"/>
    <w:rsid w:val="007761D8"/>
    <w:rsid w:val="00776787"/>
    <w:rsid w:val="00776CD7"/>
    <w:rsid w:val="00777795"/>
    <w:rsid w:val="00777852"/>
    <w:rsid w:val="0078004D"/>
    <w:rsid w:val="007824B3"/>
    <w:rsid w:val="00783A57"/>
    <w:rsid w:val="00784C92"/>
    <w:rsid w:val="007859CD"/>
    <w:rsid w:val="00786FA3"/>
    <w:rsid w:val="007901A9"/>
    <w:rsid w:val="007907E4"/>
    <w:rsid w:val="007942EF"/>
    <w:rsid w:val="00794D13"/>
    <w:rsid w:val="007957F3"/>
    <w:rsid w:val="00796461"/>
    <w:rsid w:val="00797696"/>
    <w:rsid w:val="007A00B0"/>
    <w:rsid w:val="007A0699"/>
    <w:rsid w:val="007A1A87"/>
    <w:rsid w:val="007A204E"/>
    <w:rsid w:val="007A6A4F"/>
    <w:rsid w:val="007A7F8D"/>
    <w:rsid w:val="007B03F5"/>
    <w:rsid w:val="007B05C3"/>
    <w:rsid w:val="007B10CC"/>
    <w:rsid w:val="007B1ABA"/>
    <w:rsid w:val="007B525B"/>
    <w:rsid w:val="007B59D3"/>
    <w:rsid w:val="007B5C09"/>
    <w:rsid w:val="007B5DA2"/>
    <w:rsid w:val="007B6500"/>
    <w:rsid w:val="007C06F5"/>
    <w:rsid w:val="007C0966"/>
    <w:rsid w:val="007C17EB"/>
    <w:rsid w:val="007C19E7"/>
    <w:rsid w:val="007C25EE"/>
    <w:rsid w:val="007C3513"/>
    <w:rsid w:val="007C5CFD"/>
    <w:rsid w:val="007C6D9F"/>
    <w:rsid w:val="007D18FB"/>
    <w:rsid w:val="007D36CD"/>
    <w:rsid w:val="007D4893"/>
    <w:rsid w:val="007D4EC7"/>
    <w:rsid w:val="007D6A59"/>
    <w:rsid w:val="007D7697"/>
    <w:rsid w:val="007E20A7"/>
    <w:rsid w:val="007E24C6"/>
    <w:rsid w:val="007E6BDB"/>
    <w:rsid w:val="007E70CF"/>
    <w:rsid w:val="007E74A4"/>
    <w:rsid w:val="007F1228"/>
    <w:rsid w:val="007F17E8"/>
    <w:rsid w:val="007F263F"/>
    <w:rsid w:val="007F27A5"/>
    <w:rsid w:val="007F348B"/>
    <w:rsid w:val="007F3744"/>
    <w:rsid w:val="007F46EA"/>
    <w:rsid w:val="007F5579"/>
    <w:rsid w:val="007F5A88"/>
    <w:rsid w:val="007F7604"/>
    <w:rsid w:val="008002E8"/>
    <w:rsid w:val="008033D6"/>
    <w:rsid w:val="0080766E"/>
    <w:rsid w:val="008105BE"/>
    <w:rsid w:val="00811169"/>
    <w:rsid w:val="00811F4D"/>
    <w:rsid w:val="00812592"/>
    <w:rsid w:val="00813F32"/>
    <w:rsid w:val="00814DD1"/>
    <w:rsid w:val="00814FD0"/>
    <w:rsid w:val="00815297"/>
    <w:rsid w:val="00817BA1"/>
    <w:rsid w:val="00821D46"/>
    <w:rsid w:val="00823022"/>
    <w:rsid w:val="008253EB"/>
    <w:rsid w:val="00825ABD"/>
    <w:rsid w:val="0082634E"/>
    <w:rsid w:val="00826CC4"/>
    <w:rsid w:val="008271D9"/>
    <w:rsid w:val="00827D46"/>
    <w:rsid w:val="00830439"/>
    <w:rsid w:val="00830529"/>
    <w:rsid w:val="00830C1B"/>
    <w:rsid w:val="00830E7D"/>
    <w:rsid w:val="008313C4"/>
    <w:rsid w:val="00832B35"/>
    <w:rsid w:val="00835434"/>
    <w:rsid w:val="00835862"/>
    <w:rsid w:val="008358C0"/>
    <w:rsid w:val="008370B7"/>
    <w:rsid w:val="00841474"/>
    <w:rsid w:val="00842838"/>
    <w:rsid w:val="00842BCB"/>
    <w:rsid w:val="00847B85"/>
    <w:rsid w:val="00851021"/>
    <w:rsid w:val="00852724"/>
    <w:rsid w:val="00853ABF"/>
    <w:rsid w:val="00854BE6"/>
    <w:rsid w:val="00854EC1"/>
    <w:rsid w:val="0085797F"/>
    <w:rsid w:val="008579DE"/>
    <w:rsid w:val="00860674"/>
    <w:rsid w:val="00861DC3"/>
    <w:rsid w:val="00863A86"/>
    <w:rsid w:val="00867019"/>
    <w:rsid w:val="00867AE3"/>
    <w:rsid w:val="008722C4"/>
    <w:rsid w:val="008735A9"/>
    <w:rsid w:val="00877D20"/>
    <w:rsid w:val="008802D8"/>
    <w:rsid w:val="0088110F"/>
    <w:rsid w:val="00881C48"/>
    <w:rsid w:val="00885590"/>
    <w:rsid w:val="00885B80"/>
    <w:rsid w:val="00885C30"/>
    <w:rsid w:val="00885E9B"/>
    <w:rsid w:val="00886C9D"/>
    <w:rsid w:val="00886EA1"/>
    <w:rsid w:val="00892819"/>
    <w:rsid w:val="00893C96"/>
    <w:rsid w:val="0089500A"/>
    <w:rsid w:val="008974DF"/>
    <w:rsid w:val="00897C94"/>
    <w:rsid w:val="008A3CA3"/>
    <w:rsid w:val="008A51A3"/>
    <w:rsid w:val="008A5F86"/>
    <w:rsid w:val="008A5FB6"/>
    <w:rsid w:val="008A6809"/>
    <w:rsid w:val="008A7C12"/>
    <w:rsid w:val="008B03CE"/>
    <w:rsid w:val="008B529E"/>
    <w:rsid w:val="008B5708"/>
    <w:rsid w:val="008C17FB"/>
    <w:rsid w:val="008C2E52"/>
    <w:rsid w:val="008C3023"/>
    <w:rsid w:val="008C395A"/>
    <w:rsid w:val="008C4125"/>
    <w:rsid w:val="008C7109"/>
    <w:rsid w:val="008D1253"/>
    <w:rsid w:val="008D1B00"/>
    <w:rsid w:val="008D46D0"/>
    <w:rsid w:val="008D57B8"/>
    <w:rsid w:val="008D6863"/>
    <w:rsid w:val="008E0345"/>
    <w:rsid w:val="008E03FC"/>
    <w:rsid w:val="008E1B32"/>
    <w:rsid w:val="008E3035"/>
    <w:rsid w:val="008E378C"/>
    <w:rsid w:val="008E510B"/>
    <w:rsid w:val="008F28C5"/>
    <w:rsid w:val="008F29F6"/>
    <w:rsid w:val="00900B8D"/>
    <w:rsid w:val="00902B13"/>
    <w:rsid w:val="00903DB1"/>
    <w:rsid w:val="009041E8"/>
    <w:rsid w:val="00906A58"/>
    <w:rsid w:val="00911941"/>
    <w:rsid w:val="00911C27"/>
    <w:rsid w:val="009138A0"/>
    <w:rsid w:val="00913906"/>
    <w:rsid w:val="0092009D"/>
    <w:rsid w:val="009216ED"/>
    <w:rsid w:val="009223DF"/>
    <w:rsid w:val="00925BE0"/>
    <w:rsid w:val="00925F0F"/>
    <w:rsid w:val="00930C91"/>
    <w:rsid w:val="00932F6B"/>
    <w:rsid w:val="00937935"/>
    <w:rsid w:val="009436FF"/>
    <w:rsid w:val="009468BC"/>
    <w:rsid w:val="009476CC"/>
    <w:rsid w:val="00947C8A"/>
    <w:rsid w:val="009547D3"/>
    <w:rsid w:val="00956C3A"/>
    <w:rsid w:val="00957245"/>
    <w:rsid w:val="009616DF"/>
    <w:rsid w:val="00963A97"/>
    <w:rsid w:val="009642FC"/>
    <w:rsid w:val="00964B22"/>
    <w:rsid w:val="0096542F"/>
    <w:rsid w:val="00965872"/>
    <w:rsid w:val="009665D7"/>
    <w:rsid w:val="00966B57"/>
    <w:rsid w:val="00967FA7"/>
    <w:rsid w:val="00970571"/>
    <w:rsid w:val="009706D5"/>
    <w:rsid w:val="00971645"/>
    <w:rsid w:val="00972EEB"/>
    <w:rsid w:val="0097495D"/>
    <w:rsid w:val="00977919"/>
    <w:rsid w:val="00977BCC"/>
    <w:rsid w:val="00983000"/>
    <w:rsid w:val="00983F4B"/>
    <w:rsid w:val="00984A1D"/>
    <w:rsid w:val="00984D9B"/>
    <w:rsid w:val="009863A2"/>
    <w:rsid w:val="009870FA"/>
    <w:rsid w:val="009906F2"/>
    <w:rsid w:val="009921C3"/>
    <w:rsid w:val="00992324"/>
    <w:rsid w:val="00992FBD"/>
    <w:rsid w:val="00993FA1"/>
    <w:rsid w:val="0099551D"/>
    <w:rsid w:val="00995F63"/>
    <w:rsid w:val="00996957"/>
    <w:rsid w:val="009A078E"/>
    <w:rsid w:val="009A176D"/>
    <w:rsid w:val="009A2AF7"/>
    <w:rsid w:val="009A2DD8"/>
    <w:rsid w:val="009A35D9"/>
    <w:rsid w:val="009A4556"/>
    <w:rsid w:val="009A5897"/>
    <w:rsid w:val="009A5F24"/>
    <w:rsid w:val="009B0148"/>
    <w:rsid w:val="009B0280"/>
    <w:rsid w:val="009B0B3E"/>
    <w:rsid w:val="009B106D"/>
    <w:rsid w:val="009B1913"/>
    <w:rsid w:val="009B46B3"/>
    <w:rsid w:val="009B61B3"/>
    <w:rsid w:val="009B6657"/>
    <w:rsid w:val="009B6777"/>
    <w:rsid w:val="009B7C35"/>
    <w:rsid w:val="009C139F"/>
    <w:rsid w:val="009C21F1"/>
    <w:rsid w:val="009C24FA"/>
    <w:rsid w:val="009C3F1D"/>
    <w:rsid w:val="009C40DC"/>
    <w:rsid w:val="009D0EB5"/>
    <w:rsid w:val="009D14F9"/>
    <w:rsid w:val="009D2B74"/>
    <w:rsid w:val="009D63FF"/>
    <w:rsid w:val="009D6F9E"/>
    <w:rsid w:val="009E175D"/>
    <w:rsid w:val="009E2315"/>
    <w:rsid w:val="009E33D7"/>
    <w:rsid w:val="009E3CC2"/>
    <w:rsid w:val="009E6A9E"/>
    <w:rsid w:val="009E7AF6"/>
    <w:rsid w:val="009F06BD"/>
    <w:rsid w:val="009F2A4D"/>
    <w:rsid w:val="009F3302"/>
    <w:rsid w:val="009F38F4"/>
    <w:rsid w:val="009F5489"/>
    <w:rsid w:val="009F70CE"/>
    <w:rsid w:val="00A00828"/>
    <w:rsid w:val="00A025BD"/>
    <w:rsid w:val="00A03290"/>
    <w:rsid w:val="00A036D1"/>
    <w:rsid w:val="00A07490"/>
    <w:rsid w:val="00A07DFA"/>
    <w:rsid w:val="00A10655"/>
    <w:rsid w:val="00A10E05"/>
    <w:rsid w:val="00A1197C"/>
    <w:rsid w:val="00A12B64"/>
    <w:rsid w:val="00A22C38"/>
    <w:rsid w:val="00A232B7"/>
    <w:rsid w:val="00A23AC0"/>
    <w:rsid w:val="00A25193"/>
    <w:rsid w:val="00A26E80"/>
    <w:rsid w:val="00A31AE8"/>
    <w:rsid w:val="00A32976"/>
    <w:rsid w:val="00A32EFF"/>
    <w:rsid w:val="00A3739D"/>
    <w:rsid w:val="00A37DDA"/>
    <w:rsid w:val="00A37ED8"/>
    <w:rsid w:val="00A43DF6"/>
    <w:rsid w:val="00A45DEE"/>
    <w:rsid w:val="00A46455"/>
    <w:rsid w:val="00A50829"/>
    <w:rsid w:val="00A54E59"/>
    <w:rsid w:val="00A57689"/>
    <w:rsid w:val="00A629F3"/>
    <w:rsid w:val="00A63899"/>
    <w:rsid w:val="00A63FE8"/>
    <w:rsid w:val="00A656AE"/>
    <w:rsid w:val="00A70503"/>
    <w:rsid w:val="00A71E4A"/>
    <w:rsid w:val="00A77723"/>
    <w:rsid w:val="00A7776F"/>
    <w:rsid w:val="00A77D6F"/>
    <w:rsid w:val="00A80627"/>
    <w:rsid w:val="00A8107C"/>
    <w:rsid w:val="00A81EB1"/>
    <w:rsid w:val="00A84DC7"/>
    <w:rsid w:val="00A86BC5"/>
    <w:rsid w:val="00A87672"/>
    <w:rsid w:val="00A925EC"/>
    <w:rsid w:val="00A929AA"/>
    <w:rsid w:val="00A92B6B"/>
    <w:rsid w:val="00A95357"/>
    <w:rsid w:val="00A955A9"/>
    <w:rsid w:val="00A96ADD"/>
    <w:rsid w:val="00A9786F"/>
    <w:rsid w:val="00AA22FA"/>
    <w:rsid w:val="00AA384F"/>
    <w:rsid w:val="00AA4C49"/>
    <w:rsid w:val="00AA541E"/>
    <w:rsid w:val="00AB3941"/>
    <w:rsid w:val="00AB6C71"/>
    <w:rsid w:val="00AC0C81"/>
    <w:rsid w:val="00AC2E14"/>
    <w:rsid w:val="00AC6138"/>
    <w:rsid w:val="00AD0DA4"/>
    <w:rsid w:val="00AD1134"/>
    <w:rsid w:val="00AD134E"/>
    <w:rsid w:val="00AD1B26"/>
    <w:rsid w:val="00AD23F7"/>
    <w:rsid w:val="00AD4169"/>
    <w:rsid w:val="00AD7263"/>
    <w:rsid w:val="00AD7557"/>
    <w:rsid w:val="00AE0C3D"/>
    <w:rsid w:val="00AE10F7"/>
    <w:rsid w:val="00AE1FBE"/>
    <w:rsid w:val="00AE25C6"/>
    <w:rsid w:val="00AE306C"/>
    <w:rsid w:val="00AE48C8"/>
    <w:rsid w:val="00AF16AA"/>
    <w:rsid w:val="00AF28C1"/>
    <w:rsid w:val="00AF3094"/>
    <w:rsid w:val="00B000DC"/>
    <w:rsid w:val="00B02EF1"/>
    <w:rsid w:val="00B05CC4"/>
    <w:rsid w:val="00B070B3"/>
    <w:rsid w:val="00B07C97"/>
    <w:rsid w:val="00B07C9F"/>
    <w:rsid w:val="00B07EA1"/>
    <w:rsid w:val="00B111BE"/>
    <w:rsid w:val="00B11C67"/>
    <w:rsid w:val="00B15754"/>
    <w:rsid w:val="00B15A27"/>
    <w:rsid w:val="00B2046E"/>
    <w:rsid w:val="00B2082C"/>
    <w:rsid w:val="00B20E8B"/>
    <w:rsid w:val="00B21B2C"/>
    <w:rsid w:val="00B244E6"/>
    <w:rsid w:val="00B257E1"/>
    <w:rsid w:val="00B2599A"/>
    <w:rsid w:val="00B264DF"/>
    <w:rsid w:val="00B273C8"/>
    <w:rsid w:val="00B27AC4"/>
    <w:rsid w:val="00B343CC"/>
    <w:rsid w:val="00B37916"/>
    <w:rsid w:val="00B42EDA"/>
    <w:rsid w:val="00B43C75"/>
    <w:rsid w:val="00B44269"/>
    <w:rsid w:val="00B5084A"/>
    <w:rsid w:val="00B52133"/>
    <w:rsid w:val="00B554B2"/>
    <w:rsid w:val="00B57780"/>
    <w:rsid w:val="00B600F9"/>
    <w:rsid w:val="00B606A1"/>
    <w:rsid w:val="00B614F7"/>
    <w:rsid w:val="00B61B26"/>
    <w:rsid w:val="00B675B2"/>
    <w:rsid w:val="00B72A11"/>
    <w:rsid w:val="00B72C2C"/>
    <w:rsid w:val="00B73848"/>
    <w:rsid w:val="00B75825"/>
    <w:rsid w:val="00B77C94"/>
    <w:rsid w:val="00B80AC3"/>
    <w:rsid w:val="00B81261"/>
    <w:rsid w:val="00B8223E"/>
    <w:rsid w:val="00B832AE"/>
    <w:rsid w:val="00B84C18"/>
    <w:rsid w:val="00B857ED"/>
    <w:rsid w:val="00B85A0E"/>
    <w:rsid w:val="00B86678"/>
    <w:rsid w:val="00B90C5C"/>
    <w:rsid w:val="00B92929"/>
    <w:rsid w:val="00B92960"/>
    <w:rsid w:val="00B92F9B"/>
    <w:rsid w:val="00B941B3"/>
    <w:rsid w:val="00B96513"/>
    <w:rsid w:val="00BA1D47"/>
    <w:rsid w:val="00BA53AA"/>
    <w:rsid w:val="00BA5947"/>
    <w:rsid w:val="00BA5CD6"/>
    <w:rsid w:val="00BA66F0"/>
    <w:rsid w:val="00BB0BFE"/>
    <w:rsid w:val="00BB2239"/>
    <w:rsid w:val="00BB2AE7"/>
    <w:rsid w:val="00BB35BE"/>
    <w:rsid w:val="00BB3C9A"/>
    <w:rsid w:val="00BB51D3"/>
    <w:rsid w:val="00BB6285"/>
    <w:rsid w:val="00BB6464"/>
    <w:rsid w:val="00BB7142"/>
    <w:rsid w:val="00BC022A"/>
    <w:rsid w:val="00BC1BB8"/>
    <w:rsid w:val="00BC33BF"/>
    <w:rsid w:val="00BC6E2F"/>
    <w:rsid w:val="00BD0F38"/>
    <w:rsid w:val="00BD3AC6"/>
    <w:rsid w:val="00BD412C"/>
    <w:rsid w:val="00BD66B9"/>
    <w:rsid w:val="00BD7FE1"/>
    <w:rsid w:val="00BE06E5"/>
    <w:rsid w:val="00BE0F9F"/>
    <w:rsid w:val="00BE3282"/>
    <w:rsid w:val="00BE37CA"/>
    <w:rsid w:val="00BE4B2A"/>
    <w:rsid w:val="00BE4FBE"/>
    <w:rsid w:val="00BE6144"/>
    <w:rsid w:val="00BE635A"/>
    <w:rsid w:val="00BF17E9"/>
    <w:rsid w:val="00BF2ABB"/>
    <w:rsid w:val="00BF5099"/>
    <w:rsid w:val="00C04520"/>
    <w:rsid w:val="00C04C65"/>
    <w:rsid w:val="00C10DDE"/>
    <w:rsid w:val="00C10F10"/>
    <w:rsid w:val="00C115D7"/>
    <w:rsid w:val="00C141B0"/>
    <w:rsid w:val="00C14583"/>
    <w:rsid w:val="00C14B3E"/>
    <w:rsid w:val="00C15D4D"/>
    <w:rsid w:val="00C175DC"/>
    <w:rsid w:val="00C2168E"/>
    <w:rsid w:val="00C242A9"/>
    <w:rsid w:val="00C26124"/>
    <w:rsid w:val="00C27570"/>
    <w:rsid w:val="00C30171"/>
    <w:rsid w:val="00C309D8"/>
    <w:rsid w:val="00C3202C"/>
    <w:rsid w:val="00C320A0"/>
    <w:rsid w:val="00C33998"/>
    <w:rsid w:val="00C34206"/>
    <w:rsid w:val="00C36451"/>
    <w:rsid w:val="00C37203"/>
    <w:rsid w:val="00C423D8"/>
    <w:rsid w:val="00C43519"/>
    <w:rsid w:val="00C4518F"/>
    <w:rsid w:val="00C46C38"/>
    <w:rsid w:val="00C50B67"/>
    <w:rsid w:val="00C51537"/>
    <w:rsid w:val="00C52BC3"/>
    <w:rsid w:val="00C5475C"/>
    <w:rsid w:val="00C5584B"/>
    <w:rsid w:val="00C57C7B"/>
    <w:rsid w:val="00C6194B"/>
    <w:rsid w:val="00C61AFA"/>
    <w:rsid w:val="00C61D64"/>
    <w:rsid w:val="00C61F32"/>
    <w:rsid w:val="00C62099"/>
    <w:rsid w:val="00C64EA3"/>
    <w:rsid w:val="00C65FD9"/>
    <w:rsid w:val="00C67454"/>
    <w:rsid w:val="00C72453"/>
    <w:rsid w:val="00C72867"/>
    <w:rsid w:val="00C7428D"/>
    <w:rsid w:val="00C75E81"/>
    <w:rsid w:val="00C75F52"/>
    <w:rsid w:val="00C80033"/>
    <w:rsid w:val="00C82AB9"/>
    <w:rsid w:val="00C8410B"/>
    <w:rsid w:val="00C85215"/>
    <w:rsid w:val="00C86609"/>
    <w:rsid w:val="00C90685"/>
    <w:rsid w:val="00C92B4C"/>
    <w:rsid w:val="00C93277"/>
    <w:rsid w:val="00C954F6"/>
    <w:rsid w:val="00C95D30"/>
    <w:rsid w:val="00C96994"/>
    <w:rsid w:val="00C96AAD"/>
    <w:rsid w:val="00CA2C76"/>
    <w:rsid w:val="00CA6BC5"/>
    <w:rsid w:val="00CB1E6E"/>
    <w:rsid w:val="00CB3A88"/>
    <w:rsid w:val="00CB3E57"/>
    <w:rsid w:val="00CB4292"/>
    <w:rsid w:val="00CB6BB0"/>
    <w:rsid w:val="00CB79B9"/>
    <w:rsid w:val="00CC1CCA"/>
    <w:rsid w:val="00CC2BD8"/>
    <w:rsid w:val="00CC4684"/>
    <w:rsid w:val="00CC512A"/>
    <w:rsid w:val="00CC51E3"/>
    <w:rsid w:val="00CC5943"/>
    <w:rsid w:val="00CC61CD"/>
    <w:rsid w:val="00CD1649"/>
    <w:rsid w:val="00CD28A0"/>
    <w:rsid w:val="00CD5011"/>
    <w:rsid w:val="00CD5180"/>
    <w:rsid w:val="00CE0F6E"/>
    <w:rsid w:val="00CE2334"/>
    <w:rsid w:val="00CE2F1E"/>
    <w:rsid w:val="00CE640F"/>
    <w:rsid w:val="00CE76BC"/>
    <w:rsid w:val="00CE7B55"/>
    <w:rsid w:val="00CF34A2"/>
    <w:rsid w:val="00CF540E"/>
    <w:rsid w:val="00D007E2"/>
    <w:rsid w:val="00D01A72"/>
    <w:rsid w:val="00D027FE"/>
    <w:rsid w:val="00D02F07"/>
    <w:rsid w:val="00D03570"/>
    <w:rsid w:val="00D04D1F"/>
    <w:rsid w:val="00D06130"/>
    <w:rsid w:val="00D0695D"/>
    <w:rsid w:val="00D11872"/>
    <w:rsid w:val="00D11E9E"/>
    <w:rsid w:val="00D156DF"/>
    <w:rsid w:val="00D16025"/>
    <w:rsid w:val="00D23346"/>
    <w:rsid w:val="00D25288"/>
    <w:rsid w:val="00D272E6"/>
    <w:rsid w:val="00D27EBE"/>
    <w:rsid w:val="00D27F0A"/>
    <w:rsid w:val="00D31D33"/>
    <w:rsid w:val="00D3445C"/>
    <w:rsid w:val="00D360BB"/>
    <w:rsid w:val="00D363EA"/>
    <w:rsid w:val="00D36A49"/>
    <w:rsid w:val="00D50F79"/>
    <w:rsid w:val="00D517C6"/>
    <w:rsid w:val="00D55D32"/>
    <w:rsid w:val="00D56F2B"/>
    <w:rsid w:val="00D60410"/>
    <w:rsid w:val="00D621A4"/>
    <w:rsid w:val="00D63846"/>
    <w:rsid w:val="00D64373"/>
    <w:rsid w:val="00D647DE"/>
    <w:rsid w:val="00D64806"/>
    <w:rsid w:val="00D65D23"/>
    <w:rsid w:val="00D67798"/>
    <w:rsid w:val="00D71D84"/>
    <w:rsid w:val="00D72464"/>
    <w:rsid w:val="00D768EB"/>
    <w:rsid w:val="00D828FF"/>
    <w:rsid w:val="00D82D1E"/>
    <w:rsid w:val="00D832D9"/>
    <w:rsid w:val="00D87E96"/>
    <w:rsid w:val="00D90F00"/>
    <w:rsid w:val="00D9211A"/>
    <w:rsid w:val="00D92814"/>
    <w:rsid w:val="00D92AC0"/>
    <w:rsid w:val="00D94B75"/>
    <w:rsid w:val="00D94F6B"/>
    <w:rsid w:val="00D95FBC"/>
    <w:rsid w:val="00D975C0"/>
    <w:rsid w:val="00DA0296"/>
    <w:rsid w:val="00DA4B6C"/>
    <w:rsid w:val="00DA5285"/>
    <w:rsid w:val="00DA5AC7"/>
    <w:rsid w:val="00DA5CBE"/>
    <w:rsid w:val="00DA6BA9"/>
    <w:rsid w:val="00DA76BF"/>
    <w:rsid w:val="00DB191D"/>
    <w:rsid w:val="00DB4F91"/>
    <w:rsid w:val="00DC03A9"/>
    <w:rsid w:val="00DC062E"/>
    <w:rsid w:val="00DC09AD"/>
    <w:rsid w:val="00DC1EF7"/>
    <w:rsid w:val="00DC1F0F"/>
    <w:rsid w:val="00DC2523"/>
    <w:rsid w:val="00DC2A49"/>
    <w:rsid w:val="00DC3117"/>
    <w:rsid w:val="00DC5DD9"/>
    <w:rsid w:val="00DC6D2D"/>
    <w:rsid w:val="00DC7AE4"/>
    <w:rsid w:val="00DD04AC"/>
    <w:rsid w:val="00DD495D"/>
    <w:rsid w:val="00DD64C2"/>
    <w:rsid w:val="00DD7C0F"/>
    <w:rsid w:val="00DE33B5"/>
    <w:rsid w:val="00DE5E18"/>
    <w:rsid w:val="00DE6E01"/>
    <w:rsid w:val="00DF0487"/>
    <w:rsid w:val="00DF5EA4"/>
    <w:rsid w:val="00E02681"/>
    <w:rsid w:val="00E02792"/>
    <w:rsid w:val="00E0309B"/>
    <w:rsid w:val="00E034D8"/>
    <w:rsid w:val="00E04CC0"/>
    <w:rsid w:val="00E108BC"/>
    <w:rsid w:val="00E114F3"/>
    <w:rsid w:val="00E1513C"/>
    <w:rsid w:val="00E15816"/>
    <w:rsid w:val="00E160D5"/>
    <w:rsid w:val="00E16E12"/>
    <w:rsid w:val="00E17262"/>
    <w:rsid w:val="00E17DB2"/>
    <w:rsid w:val="00E239FF"/>
    <w:rsid w:val="00E26955"/>
    <w:rsid w:val="00E27D7B"/>
    <w:rsid w:val="00E30556"/>
    <w:rsid w:val="00E30981"/>
    <w:rsid w:val="00E31198"/>
    <w:rsid w:val="00E32322"/>
    <w:rsid w:val="00E33136"/>
    <w:rsid w:val="00E34D7C"/>
    <w:rsid w:val="00E34FA0"/>
    <w:rsid w:val="00E360D1"/>
    <w:rsid w:val="00E36C7E"/>
    <w:rsid w:val="00E3723D"/>
    <w:rsid w:val="00E44C89"/>
    <w:rsid w:val="00E45536"/>
    <w:rsid w:val="00E45A63"/>
    <w:rsid w:val="00E543AA"/>
    <w:rsid w:val="00E61BA2"/>
    <w:rsid w:val="00E63586"/>
    <w:rsid w:val="00E63864"/>
    <w:rsid w:val="00E6403F"/>
    <w:rsid w:val="00E64725"/>
    <w:rsid w:val="00E64CB8"/>
    <w:rsid w:val="00E66B28"/>
    <w:rsid w:val="00E700F1"/>
    <w:rsid w:val="00E71D4E"/>
    <w:rsid w:val="00E76C9C"/>
    <w:rsid w:val="00E76F07"/>
    <w:rsid w:val="00E770C4"/>
    <w:rsid w:val="00E77ACA"/>
    <w:rsid w:val="00E804AD"/>
    <w:rsid w:val="00E84C5A"/>
    <w:rsid w:val="00E861DB"/>
    <w:rsid w:val="00E8757A"/>
    <w:rsid w:val="00E87A99"/>
    <w:rsid w:val="00E87FEE"/>
    <w:rsid w:val="00E906EB"/>
    <w:rsid w:val="00E90FA2"/>
    <w:rsid w:val="00E92D17"/>
    <w:rsid w:val="00E92DC5"/>
    <w:rsid w:val="00E93406"/>
    <w:rsid w:val="00E93C58"/>
    <w:rsid w:val="00E94F48"/>
    <w:rsid w:val="00E956C5"/>
    <w:rsid w:val="00E95C39"/>
    <w:rsid w:val="00E96362"/>
    <w:rsid w:val="00EA0A1B"/>
    <w:rsid w:val="00EA0FB5"/>
    <w:rsid w:val="00EA1E27"/>
    <w:rsid w:val="00EA1E3F"/>
    <w:rsid w:val="00EA2C39"/>
    <w:rsid w:val="00EA6183"/>
    <w:rsid w:val="00EA62AC"/>
    <w:rsid w:val="00EB0A3C"/>
    <w:rsid w:val="00EB0A96"/>
    <w:rsid w:val="00EB3D43"/>
    <w:rsid w:val="00EB77F9"/>
    <w:rsid w:val="00EC0FAF"/>
    <w:rsid w:val="00EC42EF"/>
    <w:rsid w:val="00EC5769"/>
    <w:rsid w:val="00EC7D00"/>
    <w:rsid w:val="00ED0304"/>
    <w:rsid w:val="00ED087C"/>
    <w:rsid w:val="00ED1A9A"/>
    <w:rsid w:val="00ED59CF"/>
    <w:rsid w:val="00EE3648"/>
    <w:rsid w:val="00EE38FA"/>
    <w:rsid w:val="00EE3CCD"/>
    <w:rsid w:val="00EE3E2C"/>
    <w:rsid w:val="00EE437A"/>
    <w:rsid w:val="00EE466C"/>
    <w:rsid w:val="00EE4829"/>
    <w:rsid w:val="00EE49AE"/>
    <w:rsid w:val="00EE4F6B"/>
    <w:rsid w:val="00EE5141"/>
    <w:rsid w:val="00EE5C10"/>
    <w:rsid w:val="00EE5D23"/>
    <w:rsid w:val="00EE6831"/>
    <w:rsid w:val="00EE750D"/>
    <w:rsid w:val="00EE7746"/>
    <w:rsid w:val="00EF2472"/>
    <w:rsid w:val="00EF2BEF"/>
    <w:rsid w:val="00EF3CA4"/>
    <w:rsid w:val="00EF4253"/>
    <w:rsid w:val="00EF5E1F"/>
    <w:rsid w:val="00EF66E2"/>
    <w:rsid w:val="00EF7859"/>
    <w:rsid w:val="00F00F4F"/>
    <w:rsid w:val="00F014DA"/>
    <w:rsid w:val="00F02591"/>
    <w:rsid w:val="00F026C2"/>
    <w:rsid w:val="00F02741"/>
    <w:rsid w:val="00F13212"/>
    <w:rsid w:val="00F13B24"/>
    <w:rsid w:val="00F14273"/>
    <w:rsid w:val="00F15808"/>
    <w:rsid w:val="00F15D8F"/>
    <w:rsid w:val="00F1795A"/>
    <w:rsid w:val="00F25324"/>
    <w:rsid w:val="00F2559C"/>
    <w:rsid w:val="00F2559E"/>
    <w:rsid w:val="00F25FD5"/>
    <w:rsid w:val="00F3423C"/>
    <w:rsid w:val="00F3715C"/>
    <w:rsid w:val="00F4797B"/>
    <w:rsid w:val="00F479D5"/>
    <w:rsid w:val="00F5219C"/>
    <w:rsid w:val="00F54555"/>
    <w:rsid w:val="00F5469C"/>
    <w:rsid w:val="00F5696E"/>
    <w:rsid w:val="00F60EFF"/>
    <w:rsid w:val="00F61B92"/>
    <w:rsid w:val="00F62B73"/>
    <w:rsid w:val="00F64952"/>
    <w:rsid w:val="00F67D2D"/>
    <w:rsid w:val="00F70155"/>
    <w:rsid w:val="00F82A71"/>
    <w:rsid w:val="00F82B6F"/>
    <w:rsid w:val="00F860CC"/>
    <w:rsid w:val="00F90858"/>
    <w:rsid w:val="00F94398"/>
    <w:rsid w:val="00F94CC5"/>
    <w:rsid w:val="00FA228B"/>
    <w:rsid w:val="00FA4629"/>
    <w:rsid w:val="00FA5019"/>
    <w:rsid w:val="00FA64B4"/>
    <w:rsid w:val="00FA6B6D"/>
    <w:rsid w:val="00FA7358"/>
    <w:rsid w:val="00FB0A2D"/>
    <w:rsid w:val="00FB11B4"/>
    <w:rsid w:val="00FB2B56"/>
    <w:rsid w:val="00FB4271"/>
    <w:rsid w:val="00FB4E3A"/>
    <w:rsid w:val="00FC12BF"/>
    <w:rsid w:val="00FC16A5"/>
    <w:rsid w:val="00FC1A7C"/>
    <w:rsid w:val="00FC2C60"/>
    <w:rsid w:val="00FC3F0E"/>
    <w:rsid w:val="00FC42AD"/>
    <w:rsid w:val="00FC64AB"/>
    <w:rsid w:val="00FC69AD"/>
    <w:rsid w:val="00FD1C61"/>
    <w:rsid w:val="00FD3E6F"/>
    <w:rsid w:val="00FD51B9"/>
    <w:rsid w:val="00FD59F7"/>
    <w:rsid w:val="00FE03E0"/>
    <w:rsid w:val="00FE2682"/>
    <w:rsid w:val="00FE28F1"/>
    <w:rsid w:val="00FE2A39"/>
    <w:rsid w:val="00FE2EF6"/>
    <w:rsid w:val="00FE3798"/>
    <w:rsid w:val="00FE69A3"/>
    <w:rsid w:val="00FE7FBF"/>
    <w:rsid w:val="00FF39CF"/>
    <w:rsid w:val="00FF6001"/>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3B58C69"/>
  <w15:docId w15:val="{CA926EAC-C25E-402D-91FD-4F34E132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8"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B0F"/>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8"/>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aliases w:val="a1Body Text"/>
    <w:basedOn w:val="Normal"/>
    <w:link w:val="BodyTextChar"/>
    <w:qFormat/>
    <w:rsid w:val="00414CB3"/>
    <w:pPr>
      <w:spacing w:after="120"/>
    </w:pPr>
  </w:style>
  <w:style w:type="character" w:customStyle="1" w:styleId="BodyTextChar">
    <w:name w:val="Body Text Char"/>
    <w:aliases w:val="a1Body Text Char"/>
    <w:basedOn w:val="DefaultParagraphFont"/>
    <w:link w:val="BodyText"/>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ind w:left="1440" w:hanging="708"/>
    </w:pPr>
  </w:style>
  <w:style w:type="paragraph" w:customStyle="1" w:styleId="Tablebulletlistlevel5">
    <w:name w:val="Table bullet list level 5"/>
    <w:basedOn w:val="Tablebulletlistlevel4"/>
    <w:uiPriority w:val="6"/>
    <w:semiHidden/>
    <w:qFormat/>
    <w:rsid w:val="002716CD"/>
    <w:pPr>
      <w:numPr>
        <w:ilvl w:val="4"/>
      </w:numPr>
      <w:ind w:left="3540" w:hanging="708"/>
    </w:pPr>
  </w:style>
  <w:style w:type="paragraph" w:customStyle="1" w:styleId="Tablebulletlistlevel6">
    <w:name w:val="Table bullet list level 6"/>
    <w:basedOn w:val="Tablebulletlistlevel5"/>
    <w:uiPriority w:val="6"/>
    <w:semiHidden/>
    <w:qFormat/>
    <w:rsid w:val="001D7CA4"/>
    <w:pPr>
      <w:numPr>
        <w:ilvl w:val="5"/>
      </w:numPr>
      <w:ind w:left="4248" w:hanging="708"/>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table" w:customStyle="1" w:styleId="TableGrid1">
    <w:name w:val="Table Grid1"/>
    <w:basedOn w:val="TableNormal"/>
    <w:next w:val="TableGrid"/>
    <w:uiPriority w:val="39"/>
    <w:rsid w:val="000629D9"/>
    <w:pPr>
      <w:spacing w:before="80" w:after="80"/>
    </w:pPr>
    <w:rPr>
      <w:rFonts w:ascii="Microsoft Sans Serif" w:eastAsia="Microsoft Sans Serif" w:hAnsi="Microsoft Sans Serif" w:cs="Angsana New"/>
      <w:color w:val="000000"/>
      <w:sz w:val="16"/>
      <w:szCs w:val="20"/>
    </w:rPr>
    <w:tblPr>
      <w:tblBorders>
        <w:top w:val="single" w:sz="24" w:space="0" w:color="09869B"/>
        <w:bottom w:val="single" w:sz="24" w:space="0" w:color="09869B"/>
      </w:tblBorders>
    </w:tblPr>
    <w:tblStylePr w:type="firstRow">
      <w:pPr>
        <w:wordWrap/>
        <w:spacing w:beforeLines="120" w:before="120" w:beforeAutospacing="0" w:afterLines="120" w:after="120" w:afterAutospacing="0" w:line="240" w:lineRule="auto"/>
      </w:pPr>
      <w:rPr>
        <w:b/>
        <w:color w:val="09869B"/>
      </w:rPr>
      <w:tblPr/>
      <w:tcPr>
        <w:tcBorders>
          <w:top w:val="single" w:sz="24" w:space="0" w:color="09869B"/>
          <w:left w:val="nil"/>
          <w:bottom w:val="nil"/>
          <w:right w:val="nil"/>
          <w:insideH w:val="nil"/>
          <w:insideV w:val="nil"/>
          <w:tl2br w:val="nil"/>
          <w:tr2bl w:val="nil"/>
        </w:tcBorders>
        <w:shd w:val="clear" w:color="auto" w:fill="ECE3D1"/>
      </w:tcPr>
    </w:tblStylePr>
    <w:tblStylePr w:type="lastRow">
      <w:rPr>
        <w:b w:val="0"/>
      </w:rPr>
    </w:tblStylePr>
    <w:tblStylePr w:type="firstCol">
      <w:rPr>
        <w:b w:val="0"/>
      </w:rPr>
    </w:tblStylePr>
    <w:tblStylePr w:type="lastCol">
      <w:pPr>
        <w:jc w:val="left"/>
      </w:pPr>
    </w:tblStylePr>
  </w:style>
  <w:style w:type="character" w:styleId="Emphasis">
    <w:name w:val="Emphasis"/>
    <w:basedOn w:val="DefaultParagraphFont"/>
    <w:uiPriority w:val="20"/>
    <w:qFormat/>
    <w:rsid w:val="005E4A9D"/>
    <w:rPr>
      <w:i/>
      <w:iCs/>
    </w:rPr>
  </w:style>
  <w:style w:type="character" w:styleId="CommentReference">
    <w:name w:val="annotation reference"/>
    <w:basedOn w:val="DefaultParagraphFont"/>
    <w:uiPriority w:val="99"/>
    <w:semiHidden/>
    <w:unhideWhenUsed/>
    <w:rsid w:val="00D67798"/>
    <w:rPr>
      <w:sz w:val="16"/>
      <w:szCs w:val="16"/>
    </w:rPr>
  </w:style>
  <w:style w:type="paragraph" w:styleId="CommentText">
    <w:name w:val="annotation text"/>
    <w:basedOn w:val="Normal"/>
    <w:link w:val="CommentTextChar"/>
    <w:uiPriority w:val="99"/>
    <w:unhideWhenUsed/>
    <w:rsid w:val="00D67798"/>
    <w:rPr>
      <w:sz w:val="20"/>
      <w:szCs w:val="20"/>
    </w:rPr>
  </w:style>
  <w:style w:type="character" w:customStyle="1" w:styleId="CommentTextChar">
    <w:name w:val="Comment Text Char"/>
    <w:basedOn w:val="DefaultParagraphFont"/>
    <w:link w:val="CommentText"/>
    <w:uiPriority w:val="99"/>
    <w:rsid w:val="00D6779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D67798"/>
    <w:rPr>
      <w:b/>
      <w:bCs/>
    </w:rPr>
  </w:style>
  <w:style w:type="character" w:customStyle="1" w:styleId="CommentSubjectChar">
    <w:name w:val="Comment Subject Char"/>
    <w:basedOn w:val="CommentTextChar"/>
    <w:link w:val="CommentSubject"/>
    <w:uiPriority w:val="99"/>
    <w:semiHidden/>
    <w:rsid w:val="00D67798"/>
    <w:rPr>
      <w:rFonts w:ascii="Lato" w:hAnsi="Lato"/>
      <w:b/>
      <w:bCs/>
      <w:sz w:val="20"/>
      <w:szCs w:val="20"/>
    </w:rPr>
  </w:style>
  <w:style w:type="paragraph" w:styleId="BalloonText">
    <w:name w:val="Balloon Text"/>
    <w:basedOn w:val="Normal"/>
    <w:link w:val="BalloonTextChar"/>
    <w:uiPriority w:val="99"/>
    <w:semiHidden/>
    <w:unhideWhenUsed/>
    <w:rsid w:val="00D6779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798"/>
    <w:rPr>
      <w:rFonts w:ascii="Segoe UI" w:hAnsi="Segoe UI" w:cs="Segoe UI"/>
      <w:sz w:val="18"/>
      <w:szCs w:val="18"/>
    </w:rPr>
  </w:style>
  <w:style w:type="character" w:styleId="FollowedHyperlink">
    <w:name w:val="FollowedHyperlink"/>
    <w:basedOn w:val="DefaultParagraphFont"/>
    <w:uiPriority w:val="99"/>
    <w:semiHidden/>
    <w:unhideWhenUsed/>
    <w:rsid w:val="00937935"/>
    <w:rPr>
      <w:color w:val="8C4799" w:themeColor="followedHyperlink"/>
      <w:u w:val="single"/>
    </w:rPr>
  </w:style>
  <w:style w:type="paragraph" w:styleId="Revision">
    <w:name w:val="Revision"/>
    <w:hidden/>
    <w:uiPriority w:val="99"/>
    <w:semiHidden/>
    <w:rsid w:val="009642FC"/>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476651660">
      <w:bodyDiv w:val="1"/>
      <w:marLeft w:val="0"/>
      <w:marRight w:val="0"/>
      <w:marTop w:val="0"/>
      <w:marBottom w:val="0"/>
      <w:divBdr>
        <w:top w:val="none" w:sz="0" w:space="0" w:color="auto"/>
        <w:left w:val="none" w:sz="0" w:space="0" w:color="auto"/>
        <w:bottom w:val="none" w:sz="0" w:space="0" w:color="auto"/>
        <w:right w:val="none" w:sz="0" w:space="0" w:color="auto"/>
      </w:divBdr>
    </w:div>
    <w:div w:id="1642152340">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3782456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image" Target="media/image4.jpeg"/><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industry.nt.gov.au/projects-and-initiatives/business/northern-territory-electricity-market-priority-reform-program" TargetMode="External"/><Relationship Id="rId25" Type="http://schemas.openxmlformats.org/officeDocument/2006/relationships/image" Target="media/image6.png"/><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mailto:electricityreform@nt.gov.au" TargetMode="Externa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electricityreform@nt.gov.au"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e-cigre.org/publication/647-capacity-mechanisms-needs-solutions-and-state-of-affairs" TargetMode="External"/><Relationship Id="rId2" Type="http://schemas.openxmlformats.org/officeDocument/2006/relationships/hyperlink" Target="https://treasury.nt.gov.au/__data/assets/pdf_file/0005/646475/Consultation-Paper-Reliability-Standard-Form-Final-Jan-2018.pdf" TargetMode="External"/><Relationship Id="rId1" Type="http://schemas.openxmlformats.org/officeDocument/2006/relationships/hyperlink" Target="https://industry.nt.gov.au/__data/assets/pdf_file/0012/889563/ntemprp-introductory-notes-scope-work-program.pdf" TargetMode="External"/><Relationship Id="rId6" Type="http://schemas.openxmlformats.org/officeDocument/2006/relationships/hyperlink" Target="https://industry.nt.gov.au/electricityreforms" TargetMode="External"/><Relationship Id="rId5" Type="http://schemas.openxmlformats.org/officeDocument/2006/relationships/hyperlink" Target="https://industry.nt.gov.au/electricityreforms" TargetMode="External"/><Relationship Id="rId4" Type="http://schemas.openxmlformats.org/officeDocument/2006/relationships/hyperlink" Target="https://industry.nt.gov.au/electricityrefor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lyon\Downloads\ntg-long-block-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1E9A13F81E4FED88DC58CE8D1B8F95"/>
        <w:category>
          <w:name w:val="General"/>
          <w:gallery w:val="placeholder"/>
        </w:category>
        <w:types>
          <w:type w:val="bbPlcHdr"/>
        </w:types>
        <w:behaviors>
          <w:behavior w:val="content"/>
        </w:behaviors>
        <w:guid w:val="{8FA77547-9D07-450F-A8DA-D4B95BD838A7}"/>
      </w:docPartPr>
      <w:docPartBody>
        <w:p w:rsidR="00231456" w:rsidRDefault="00231456">
          <w:pPr>
            <w:pStyle w:val="3B1E9A13F81E4FED88DC58CE8D1B8F95"/>
          </w:pPr>
          <w:r>
            <w:t>&lt;Document title&gt;</w:t>
          </w:r>
        </w:p>
      </w:docPartBody>
    </w:docPart>
    <w:docPart>
      <w:docPartPr>
        <w:name w:val="584AEF544CD442429EACC914F863ACFE"/>
        <w:category>
          <w:name w:val="General"/>
          <w:gallery w:val="placeholder"/>
        </w:category>
        <w:types>
          <w:type w:val="bbPlcHdr"/>
        </w:types>
        <w:behaviors>
          <w:behavior w:val="content"/>
        </w:behaviors>
        <w:guid w:val="{C4B9F041-BB46-4472-970F-CED2DFFD0649}"/>
      </w:docPartPr>
      <w:docPartBody>
        <w:p w:rsidR="00231456" w:rsidRDefault="00231456">
          <w:pPr>
            <w:pStyle w:val="584AEF544CD442429EACC914F863ACFE"/>
          </w:pPr>
          <w:r w:rsidRPr="004E7885">
            <w:rPr>
              <w:rStyle w:val="PlaceholderText"/>
            </w:rPr>
            <w:t>&lt;Document title&gt;</w:t>
          </w:r>
        </w:p>
      </w:docPartBody>
    </w:docPart>
    <w:docPart>
      <w:docPartPr>
        <w:name w:val="ABE4F6AEEED24E178CCD4A623E8E8EA3"/>
        <w:category>
          <w:name w:val="General"/>
          <w:gallery w:val="placeholder"/>
        </w:category>
        <w:types>
          <w:type w:val="bbPlcHdr"/>
        </w:types>
        <w:behaviors>
          <w:behavior w:val="content"/>
        </w:behaviors>
        <w:guid w:val="{0247DEB3-5CFA-441D-BE31-B96399D0470E}"/>
      </w:docPartPr>
      <w:docPartBody>
        <w:p w:rsidR="00231456" w:rsidRDefault="00231456">
          <w:pPr>
            <w:pStyle w:val="ABE4F6AEEED24E178CCD4A623E8E8EA3"/>
          </w:pPr>
          <w:r w:rsidRPr="005076E2">
            <w:t>&lt;Date Month Year&gt;</w:t>
          </w:r>
        </w:p>
      </w:docPartBody>
    </w:docPart>
    <w:docPart>
      <w:docPartPr>
        <w:name w:val="DD8A740263D64D8DB0C02169996CB0A5"/>
        <w:category>
          <w:name w:val="General"/>
          <w:gallery w:val="placeholder"/>
        </w:category>
        <w:types>
          <w:type w:val="bbPlcHdr"/>
        </w:types>
        <w:behaviors>
          <w:behavior w:val="content"/>
        </w:behaviors>
        <w:guid w:val="{F6050B93-BFB6-44F2-975C-9FDE32E63CC7}"/>
      </w:docPartPr>
      <w:docPartBody>
        <w:p w:rsidR="00231456" w:rsidRDefault="00231456">
          <w:pPr>
            <w:pStyle w:val="DD8A740263D64D8DB0C02169996CB0A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Microsoft Sans Serif">
    <w:panose1 w:val="020B0604020202020204"/>
    <w:charset w:val="00"/>
    <w:family w:val="swiss"/>
    <w:pitch w:val="variable"/>
    <w:sig w:usb0="E5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56"/>
    <w:rsid w:val="00072447"/>
    <w:rsid w:val="00117D69"/>
    <w:rsid w:val="001675BC"/>
    <w:rsid w:val="00176721"/>
    <w:rsid w:val="001832BF"/>
    <w:rsid w:val="00200C04"/>
    <w:rsid w:val="002225F6"/>
    <w:rsid w:val="00231456"/>
    <w:rsid w:val="002464B4"/>
    <w:rsid w:val="00281A8F"/>
    <w:rsid w:val="002A2732"/>
    <w:rsid w:val="00466559"/>
    <w:rsid w:val="00493570"/>
    <w:rsid w:val="00494CE5"/>
    <w:rsid w:val="004E58C9"/>
    <w:rsid w:val="00532052"/>
    <w:rsid w:val="00552878"/>
    <w:rsid w:val="005E1516"/>
    <w:rsid w:val="006A131D"/>
    <w:rsid w:val="006C4AA5"/>
    <w:rsid w:val="007750D8"/>
    <w:rsid w:val="007B2F2D"/>
    <w:rsid w:val="007E1D3C"/>
    <w:rsid w:val="008214F6"/>
    <w:rsid w:val="00832885"/>
    <w:rsid w:val="00843C25"/>
    <w:rsid w:val="00863ADE"/>
    <w:rsid w:val="00911C80"/>
    <w:rsid w:val="009150F8"/>
    <w:rsid w:val="0097290B"/>
    <w:rsid w:val="00986470"/>
    <w:rsid w:val="00995DD8"/>
    <w:rsid w:val="00A0517B"/>
    <w:rsid w:val="00A32F06"/>
    <w:rsid w:val="00AA60BC"/>
    <w:rsid w:val="00AC5253"/>
    <w:rsid w:val="00AE7EAA"/>
    <w:rsid w:val="00AF457A"/>
    <w:rsid w:val="00B13BDE"/>
    <w:rsid w:val="00BC734A"/>
    <w:rsid w:val="00BE2317"/>
    <w:rsid w:val="00C11FAB"/>
    <w:rsid w:val="00C1290B"/>
    <w:rsid w:val="00C1713A"/>
    <w:rsid w:val="00C7469A"/>
    <w:rsid w:val="00CD6916"/>
    <w:rsid w:val="00D11899"/>
    <w:rsid w:val="00D301CF"/>
    <w:rsid w:val="00D340D2"/>
    <w:rsid w:val="00D85F9D"/>
    <w:rsid w:val="00DB3D8B"/>
    <w:rsid w:val="00DE4B3D"/>
    <w:rsid w:val="00EF0570"/>
    <w:rsid w:val="00F40450"/>
    <w:rsid w:val="00F44050"/>
    <w:rsid w:val="00F73345"/>
    <w:rsid w:val="00FD0AA8"/>
    <w:rsid w:val="00FD1438"/>
    <w:rsid w:val="00FF1A59"/>
    <w:rsid w:val="00FF53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E9A13F81E4FED88DC58CE8D1B8F95">
    <w:name w:val="3B1E9A13F81E4FED88DC58CE8D1B8F95"/>
  </w:style>
  <w:style w:type="character" w:styleId="PlaceholderText">
    <w:name w:val="Placeholder Text"/>
    <w:basedOn w:val="DefaultParagraphFont"/>
    <w:uiPriority w:val="99"/>
    <w:semiHidden/>
    <w:rPr>
      <w:color w:val="808080"/>
    </w:rPr>
  </w:style>
  <w:style w:type="paragraph" w:customStyle="1" w:styleId="584AEF544CD442429EACC914F863ACFE">
    <w:name w:val="584AEF544CD442429EACC914F863ACFE"/>
  </w:style>
  <w:style w:type="paragraph" w:customStyle="1" w:styleId="ABE4F6AEEED24E178CCD4A623E8E8EA3">
    <w:name w:val="ABE4F6AEEED24E178CCD4A623E8E8EA3"/>
  </w:style>
  <w:style w:type="paragraph" w:customStyle="1" w:styleId="DD8A740263D64D8DB0C02169996CB0A5">
    <w:name w:val="DD8A740263D64D8DB0C02169996CB0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6A78F3-B70E-456C-843D-E61F4338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ntg-long-block-template_7.dotx</Template>
  <TotalTime>582</TotalTime>
  <Pages>27</Pages>
  <Words>10809</Words>
  <Characters>61616</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NTEM Priority Reform Program: Reliability priority changes</vt:lpstr>
    </vt:vector>
  </TitlesOfParts>
  <Company>Northern Territory Government</Company>
  <LinksUpToDate>false</LinksUpToDate>
  <CharactersWithSpaces>72281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NTEM Priority Reform Program: Reliability priority changes</dc:title>
  <dc:subject>Consultation paper: design of the capacity mechanism</dc:subject>
  <dc:creator>Northern Territory Government</dc:creator>
  <cp:lastModifiedBy>Marlene Woods</cp:lastModifiedBy>
  <cp:revision>108</cp:revision>
  <cp:lastPrinted>2021-01-28T02:54:00Z</cp:lastPrinted>
  <dcterms:created xsi:type="dcterms:W3CDTF">2020-12-18T01:28:00Z</dcterms:created>
  <dcterms:modified xsi:type="dcterms:W3CDTF">2021-01-29T06:08:00Z</dcterms:modified>
</cp:coreProperties>
</file>