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CF19F8" w:rsidRDefault="003B38E2" w:rsidP="00CF19F8">
      <w:pPr>
        <w:pStyle w:val="Heading1"/>
      </w:pPr>
      <w:r w:rsidRPr="00CF19F8">
        <w:t>Reasons for Decision</w:t>
      </w:r>
    </w:p>
    <w:p w:rsidR="00DB64C1" w:rsidRPr="003D6457" w:rsidRDefault="00DB64C1" w:rsidP="003B38E2">
      <w:pPr>
        <w:overflowPunct w:val="0"/>
        <w:autoSpaceDE w:val="0"/>
        <w:autoSpaceDN w:val="0"/>
        <w:adjustRightInd w:val="0"/>
        <w:spacing w:after="200"/>
        <w:ind w:left="2835" w:hanging="2835"/>
        <w:outlineLvl w:val="0"/>
        <w:rPr>
          <w:rFonts w:ascii="Arial" w:hAnsi="Arial" w:cs="Arial"/>
          <w:sz w:val="22"/>
          <w:szCs w:val="22"/>
        </w:rPr>
      </w:pPr>
      <w:r w:rsidRPr="003D6457">
        <w:rPr>
          <w:rFonts w:ascii="Arial" w:hAnsi="Arial" w:cs="Arial"/>
          <w:b/>
          <w:sz w:val="22"/>
          <w:szCs w:val="22"/>
        </w:rPr>
        <w:t>Complainant:</w:t>
      </w:r>
      <w:r w:rsidRPr="003D6457">
        <w:rPr>
          <w:rFonts w:ascii="Arial" w:hAnsi="Arial" w:cs="Arial"/>
          <w:b/>
          <w:sz w:val="22"/>
          <w:szCs w:val="22"/>
        </w:rPr>
        <w:tab/>
      </w:r>
      <w:r w:rsidR="000C42DF" w:rsidRPr="003D6457">
        <w:rPr>
          <w:rFonts w:ascii="Arial" w:hAnsi="Arial" w:cs="Arial"/>
          <w:sz w:val="22"/>
          <w:szCs w:val="22"/>
          <w:lang w:val="en-GB"/>
        </w:rPr>
        <w:t>William Hill</w:t>
      </w:r>
    </w:p>
    <w:p w:rsidR="003B38E2" w:rsidRPr="003D6457" w:rsidRDefault="003B38E2" w:rsidP="003B38E2">
      <w:pPr>
        <w:overflowPunct w:val="0"/>
        <w:autoSpaceDE w:val="0"/>
        <w:autoSpaceDN w:val="0"/>
        <w:adjustRightInd w:val="0"/>
        <w:spacing w:after="200"/>
        <w:ind w:left="2835" w:hanging="2835"/>
        <w:outlineLvl w:val="0"/>
        <w:rPr>
          <w:rFonts w:ascii="Arial" w:hAnsi="Arial" w:cs="Arial"/>
          <w:sz w:val="22"/>
          <w:szCs w:val="22"/>
          <w:lang w:val="en-GB"/>
        </w:rPr>
      </w:pPr>
      <w:r w:rsidRPr="003D6457">
        <w:rPr>
          <w:rFonts w:ascii="Arial" w:hAnsi="Arial" w:cs="Arial"/>
          <w:b/>
          <w:sz w:val="22"/>
          <w:szCs w:val="22"/>
        </w:rPr>
        <w:t>Licensee</w:t>
      </w:r>
      <w:r w:rsidRPr="003D6457">
        <w:rPr>
          <w:rFonts w:ascii="Arial" w:hAnsi="Arial" w:cs="Arial"/>
          <w:b/>
          <w:sz w:val="22"/>
          <w:szCs w:val="22"/>
          <w:lang w:val="en-GB"/>
        </w:rPr>
        <w:t>:</w:t>
      </w:r>
      <w:r w:rsidRPr="003D6457">
        <w:rPr>
          <w:rFonts w:ascii="Arial" w:hAnsi="Arial" w:cs="Arial"/>
          <w:b/>
          <w:sz w:val="22"/>
          <w:szCs w:val="22"/>
          <w:lang w:val="en-GB"/>
        </w:rPr>
        <w:tab/>
      </w:r>
      <w:r w:rsidR="000E2F64" w:rsidRPr="003D6457">
        <w:rPr>
          <w:rFonts w:ascii="Arial" w:hAnsi="Arial" w:cs="Arial"/>
          <w:sz w:val="22"/>
          <w:szCs w:val="22"/>
          <w:lang w:val="en-GB"/>
        </w:rPr>
        <w:t>William Hill</w:t>
      </w:r>
    </w:p>
    <w:p w:rsidR="003B38E2" w:rsidRPr="003D6457" w:rsidRDefault="003B38E2" w:rsidP="003B38E2">
      <w:pPr>
        <w:spacing w:after="200"/>
        <w:ind w:left="2835" w:hanging="2835"/>
        <w:rPr>
          <w:rFonts w:ascii="Arial" w:hAnsi="Arial" w:cs="Arial"/>
          <w:sz w:val="22"/>
          <w:szCs w:val="22"/>
          <w:lang w:val="en-GB"/>
        </w:rPr>
      </w:pPr>
      <w:r w:rsidRPr="003D6457">
        <w:rPr>
          <w:rFonts w:ascii="Arial" w:hAnsi="Arial" w:cs="Arial"/>
          <w:b/>
          <w:sz w:val="22"/>
          <w:szCs w:val="22"/>
        </w:rPr>
        <w:t>Proceedings</w:t>
      </w:r>
      <w:r w:rsidRPr="003D6457">
        <w:rPr>
          <w:rFonts w:ascii="Arial" w:hAnsi="Arial" w:cs="Arial"/>
          <w:b/>
          <w:sz w:val="22"/>
          <w:szCs w:val="22"/>
          <w:lang w:val="en-GB"/>
        </w:rPr>
        <w:t>:</w:t>
      </w:r>
      <w:r w:rsidRPr="003D6457">
        <w:rPr>
          <w:rFonts w:ascii="Arial" w:hAnsi="Arial" w:cs="Arial"/>
          <w:b/>
          <w:sz w:val="22"/>
          <w:szCs w:val="22"/>
          <w:lang w:val="en-GB"/>
        </w:rPr>
        <w:tab/>
      </w:r>
      <w:r w:rsidR="005F725E" w:rsidRPr="003D6457">
        <w:rPr>
          <w:rFonts w:ascii="Arial" w:hAnsi="Arial" w:cs="Arial"/>
          <w:sz w:val="22"/>
          <w:szCs w:val="22"/>
        </w:rPr>
        <w:t xml:space="preserve">Pursuant to Section 85(4) of the </w:t>
      </w:r>
      <w:r w:rsidR="005F725E" w:rsidRPr="003D6457">
        <w:rPr>
          <w:rFonts w:ascii="Arial" w:hAnsi="Arial" w:cs="Arial"/>
          <w:i/>
          <w:sz w:val="22"/>
          <w:szCs w:val="22"/>
        </w:rPr>
        <w:t>Racing And Betting Act</w:t>
      </w:r>
      <w:r w:rsidR="005F725E" w:rsidRPr="003D6457">
        <w:rPr>
          <w:rFonts w:ascii="Arial" w:hAnsi="Arial" w:cs="Arial"/>
          <w:sz w:val="22"/>
          <w:szCs w:val="22"/>
        </w:rPr>
        <w:t xml:space="preserve"> – Referral of Dispute to Racing Commission for Determination</w:t>
      </w:r>
      <w:r w:rsidR="000865C5">
        <w:rPr>
          <w:rFonts w:ascii="Arial" w:hAnsi="Arial" w:cs="Arial"/>
          <w:sz w:val="22"/>
          <w:szCs w:val="22"/>
        </w:rPr>
        <w:t xml:space="preserve"> - </w:t>
      </w:r>
      <w:r w:rsidR="00FA4AB7">
        <w:rPr>
          <w:rFonts w:ascii="Arial" w:hAnsi="Arial" w:cs="Arial"/>
          <w:sz w:val="22"/>
          <w:szCs w:val="22"/>
        </w:rPr>
        <w:t>Mr Y</w:t>
      </w:r>
      <w:r w:rsidR="000865C5">
        <w:rPr>
          <w:rFonts w:ascii="Arial" w:hAnsi="Arial" w:cs="Arial"/>
          <w:sz w:val="22"/>
          <w:szCs w:val="22"/>
        </w:rPr>
        <w:t>.</w:t>
      </w:r>
    </w:p>
    <w:p w:rsidR="003B38E2" w:rsidRPr="003D6457" w:rsidRDefault="003B38E2" w:rsidP="005F725E">
      <w:pPr>
        <w:spacing w:after="120"/>
        <w:ind w:left="2835" w:hanging="2835"/>
        <w:rPr>
          <w:rFonts w:ascii="Arial" w:hAnsi="Arial" w:cs="Arial"/>
          <w:sz w:val="22"/>
          <w:szCs w:val="22"/>
          <w:lang w:val="en-GB"/>
        </w:rPr>
      </w:pPr>
      <w:r w:rsidRPr="003D6457">
        <w:rPr>
          <w:rFonts w:ascii="Arial" w:hAnsi="Arial" w:cs="Arial"/>
          <w:b/>
          <w:sz w:val="22"/>
          <w:szCs w:val="22"/>
        </w:rPr>
        <w:t>Heard Before</w:t>
      </w:r>
      <w:r w:rsidRPr="003D6457">
        <w:rPr>
          <w:rFonts w:ascii="Arial" w:hAnsi="Arial" w:cs="Arial"/>
          <w:b/>
          <w:sz w:val="22"/>
          <w:szCs w:val="22"/>
          <w:lang w:val="en-GB"/>
        </w:rPr>
        <w:t>:</w:t>
      </w:r>
      <w:r w:rsidRPr="003D6457">
        <w:rPr>
          <w:rFonts w:ascii="Arial" w:hAnsi="Arial" w:cs="Arial"/>
          <w:b/>
          <w:sz w:val="22"/>
          <w:szCs w:val="22"/>
          <w:lang w:val="en-GB"/>
        </w:rPr>
        <w:tab/>
      </w:r>
      <w:r w:rsidR="00AD6D0D" w:rsidRPr="003D6457">
        <w:rPr>
          <w:rFonts w:ascii="Arial" w:hAnsi="Arial" w:cs="Arial"/>
          <w:sz w:val="22"/>
          <w:szCs w:val="22"/>
          <w:lang w:val="en-GB"/>
        </w:rPr>
        <w:t>John McBride</w:t>
      </w:r>
    </w:p>
    <w:p w:rsidR="00DB64C1" w:rsidRPr="003D6457" w:rsidRDefault="00DB64C1" w:rsidP="005F725E">
      <w:pPr>
        <w:spacing w:after="120"/>
        <w:ind w:left="2835" w:hanging="2835"/>
        <w:rPr>
          <w:rFonts w:ascii="Arial" w:hAnsi="Arial" w:cs="Arial"/>
          <w:sz w:val="22"/>
          <w:szCs w:val="22"/>
        </w:rPr>
      </w:pPr>
      <w:r w:rsidRPr="003D6457">
        <w:rPr>
          <w:rFonts w:ascii="Arial" w:hAnsi="Arial" w:cs="Arial"/>
          <w:b/>
          <w:sz w:val="22"/>
          <w:szCs w:val="22"/>
        </w:rPr>
        <w:t>(</w:t>
      </w:r>
      <w:proofErr w:type="gramStart"/>
      <w:r w:rsidRPr="003D6457">
        <w:rPr>
          <w:rFonts w:ascii="Arial" w:hAnsi="Arial" w:cs="Arial"/>
          <w:b/>
          <w:sz w:val="22"/>
          <w:szCs w:val="22"/>
        </w:rPr>
        <w:t>on</w:t>
      </w:r>
      <w:proofErr w:type="gramEnd"/>
      <w:r w:rsidRPr="003D6457">
        <w:rPr>
          <w:rFonts w:ascii="Arial" w:hAnsi="Arial" w:cs="Arial"/>
          <w:b/>
          <w:sz w:val="22"/>
          <w:szCs w:val="22"/>
        </w:rPr>
        <w:t xml:space="preserve"> papers)</w:t>
      </w:r>
      <w:r w:rsidRPr="003D6457">
        <w:rPr>
          <w:rFonts w:ascii="Arial" w:hAnsi="Arial" w:cs="Arial"/>
          <w:b/>
          <w:sz w:val="22"/>
          <w:szCs w:val="22"/>
        </w:rPr>
        <w:tab/>
      </w:r>
      <w:r w:rsidR="00AD6D0D" w:rsidRPr="003D6457">
        <w:rPr>
          <w:rFonts w:ascii="Arial" w:hAnsi="Arial" w:cs="Arial"/>
          <w:sz w:val="22"/>
          <w:szCs w:val="22"/>
          <w:lang w:val="en-GB"/>
        </w:rPr>
        <w:t xml:space="preserve">John </w:t>
      </w:r>
      <w:proofErr w:type="spellStart"/>
      <w:r w:rsidR="00AD6D0D" w:rsidRPr="003D6457">
        <w:rPr>
          <w:rFonts w:ascii="Arial" w:hAnsi="Arial" w:cs="Arial"/>
          <w:sz w:val="22"/>
          <w:szCs w:val="22"/>
          <w:lang w:val="en-GB"/>
        </w:rPr>
        <w:t>Boneham</w:t>
      </w:r>
      <w:proofErr w:type="spellEnd"/>
    </w:p>
    <w:p w:rsidR="005F725E" w:rsidRPr="003D6457" w:rsidRDefault="005F725E" w:rsidP="003B38E2">
      <w:pPr>
        <w:spacing w:after="240"/>
        <w:ind w:left="2835" w:hanging="2835"/>
        <w:rPr>
          <w:rFonts w:ascii="Arial" w:hAnsi="Arial" w:cs="Arial"/>
          <w:sz w:val="22"/>
          <w:szCs w:val="22"/>
        </w:rPr>
      </w:pPr>
      <w:r w:rsidRPr="003D6457">
        <w:rPr>
          <w:rFonts w:ascii="Arial" w:hAnsi="Arial" w:cs="Arial"/>
          <w:sz w:val="22"/>
          <w:szCs w:val="22"/>
        </w:rPr>
        <w:tab/>
      </w:r>
      <w:r w:rsidR="000D61DA" w:rsidRPr="003D6457">
        <w:rPr>
          <w:rFonts w:ascii="Arial" w:hAnsi="Arial" w:cs="Arial"/>
          <w:sz w:val="22"/>
          <w:szCs w:val="22"/>
          <w:lang w:val="en-GB"/>
        </w:rPr>
        <w:t>Andrew Maloney</w:t>
      </w:r>
    </w:p>
    <w:p w:rsidR="003B38E2" w:rsidRPr="003D6457" w:rsidRDefault="003B38E2" w:rsidP="003B38E2">
      <w:pPr>
        <w:spacing w:after="200"/>
        <w:ind w:left="2835" w:hanging="2835"/>
        <w:rPr>
          <w:rFonts w:ascii="Arial" w:hAnsi="Arial" w:cs="Arial"/>
          <w:sz w:val="22"/>
          <w:szCs w:val="22"/>
        </w:rPr>
      </w:pPr>
      <w:r w:rsidRPr="003D6457">
        <w:rPr>
          <w:rFonts w:ascii="Arial" w:hAnsi="Arial" w:cs="Arial"/>
          <w:b/>
          <w:sz w:val="22"/>
          <w:szCs w:val="22"/>
        </w:rPr>
        <w:t>Date of Decision:</w:t>
      </w:r>
      <w:r w:rsidRPr="003D6457">
        <w:rPr>
          <w:rFonts w:ascii="Arial" w:hAnsi="Arial" w:cs="Arial"/>
          <w:b/>
          <w:sz w:val="22"/>
          <w:szCs w:val="22"/>
        </w:rPr>
        <w:tab/>
      </w:r>
      <w:r w:rsidR="00D03B45" w:rsidRPr="00D03B45">
        <w:rPr>
          <w:rFonts w:ascii="Arial" w:hAnsi="Arial" w:cs="Arial"/>
          <w:sz w:val="22"/>
          <w:szCs w:val="22"/>
        </w:rPr>
        <w:t>12</w:t>
      </w:r>
      <w:r w:rsidR="00AA6318">
        <w:rPr>
          <w:rFonts w:ascii="Arial" w:hAnsi="Arial" w:cs="Arial"/>
          <w:sz w:val="22"/>
          <w:szCs w:val="22"/>
        </w:rPr>
        <w:t xml:space="preserve"> October 2016</w:t>
      </w:r>
    </w:p>
    <w:p w:rsidR="003B38E2" w:rsidRPr="003D6457" w:rsidRDefault="003B38E2" w:rsidP="003B38E2">
      <w:pPr>
        <w:pStyle w:val="BottomLine"/>
        <w:rPr>
          <w:rFonts w:cs="Arial"/>
          <w:sz w:val="22"/>
          <w:szCs w:val="22"/>
        </w:rPr>
      </w:pPr>
    </w:p>
    <w:p w:rsidR="003B38E2" w:rsidRPr="003D6457" w:rsidRDefault="00DB64C1" w:rsidP="00035446">
      <w:pPr>
        <w:pStyle w:val="Heading2"/>
        <w:spacing w:before="0"/>
        <w:rPr>
          <w:rFonts w:cs="Arial"/>
          <w:sz w:val="26"/>
          <w:szCs w:val="26"/>
        </w:rPr>
      </w:pPr>
      <w:r w:rsidRPr="003D6457">
        <w:rPr>
          <w:rFonts w:cs="Arial"/>
          <w:sz w:val="26"/>
          <w:szCs w:val="26"/>
        </w:rPr>
        <w:t>Background</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On 24 March 2016, Mr Mark Pinfold, Client Account Manager, of William Hill Australia Pty Ltd lodged a dispute with the Racing Commission in relation to lawful betting pursuant to s85(2) of the Racing and Betting Act (the Act)</w:t>
      </w:r>
      <w:r w:rsidR="00F113E3">
        <w:rPr>
          <w:rFonts w:ascii="Arial" w:hAnsi="Arial" w:cs="Arial"/>
          <w:sz w:val="22"/>
          <w:szCs w:val="22"/>
        </w:rPr>
        <w:t>.</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The bookmaker is seeking a determination from the Racing Commission (the Commission) to declare a series of wagers lawful</w:t>
      </w:r>
      <w:proofErr w:type="gramStart"/>
      <w:r w:rsidRPr="003D6457">
        <w:rPr>
          <w:rFonts w:ascii="Arial" w:hAnsi="Arial" w:cs="Arial"/>
          <w:sz w:val="22"/>
          <w:szCs w:val="22"/>
        </w:rPr>
        <w:t xml:space="preserve">.  </w:t>
      </w:r>
      <w:proofErr w:type="gramEnd"/>
      <w:r w:rsidRPr="003D6457">
        <w:rPr>
          <w:rFonts w:ascii="Arial" w:hAnsi="Arial" w:cs="Arial"/>
          <w:sz w:val="22"/>
          <w:szCs w:val="22"/>
        </w:rPr>
        <w:t>These wagers allegedly relate to a client of the bookmaker.</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The bookmaker seeks the dispute be determined by the Commission pursuant to </w:t>
      </w:r>
      <w:proofErr w:type="gramStart"/>
      <w:r w:rsidRPr="003D6457">
        <w:rPr>
          <w:rFonts w:ascii="Arial" w:hAnsi="Arial" w:cs="Arial"/>
          <w:sz w:val="22"/>
          <w:szCs w:val="22"/>
        </w:rPr>
        <w:t>s85(</w:t>
      </w:r>
      <w:proofErr w:type="gramEnd"/>
      <w:r w:rsidRPr="003D6457">
        <w:rPr>
          <w:rFonts w:ascii="Arial" w:hAnsi="Arial" w:cs="Arial"/>
          <w:sz w:val="22"/>
          <w:szCs w:val="22"/>
        </w:rPr>
        <w:t>4) of the Act.</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This matter came before the Commission on papers presented to the Commission at its June 2016 meeting by its Manager of Compliance, Gambling and Racing Mr Travis Te Whata</w:t>
      </w:r>
      <w:proofErr w:type="gramStart"/>
      <w:r w:rsidRPr="003D6457">
        <w:rPr>
          <w:rFonts w:ascii="Arial" w:hAnsi="Arial" w:cs="Arial"/>
          <w:sz w:val="22"/>
          <w:szCs w:val="22"/>
        </w:rPr>
        <w:t xml:space="preserve">.  </w:t>
      </w:r>
      <w:proofErr w:type="gramEnd"/>
      <w:r w:rsidRPr="003D6457">
        <w:rPr>
          <w:rFonts w:ascii="Arial" w:hAnsi="Arial" w:cs="Arial"/>
          <w:sz w:val="22"/>
          <w:szCs w:val="22"/>
        </w:rPr>
        <w:t>The Commission accepted the referral of the dispute and determined to conduct a hearing based on the papers</w:t>
      </w:r>
      <w:proofErr w:type="gramStart"/>
      <w:r w:rsidRPr="003D6457">
        <w:rPr>
          <w:rFonts w:ascii="Arial" w:hAnsi="Arial" w:cs="Arial"/>
          <w:sz w:val="22"/>
          <w:szCs w:val="22"/>
        </w:rPr>
        <w:t xml:space="preserve">.  </w:t>
      </w:r>
      <w:proofErr w:type="gramEnd"/>
      <w:r w:rsidRPr="003D6457">
        <w:rPr>
          <w:rFonts w:ascii="Arial" w:hAnsi="Arial" w:cs="Arial"/>
          <w:sz w:val="22"/>
          <w:szCs w:val="22"/>
        </w:rPr>
        <w:t>It delegated the hearing to a panel of three members including the Chairman for determination.</w:t>
      </w:r>
    </w:p>
    <w:p w:rsidR="000048F3" w:rsidRPr="00CF19F8" w:rsidRDefault="00DB64C1" w:rsidP="00CF19F8">
      <w:pPr>
        <w:pStyle w:val="Heading2"/>
      </w:pPr>
      <w:r w:rsidRPr="00CF19F8">
        <w:t>Consideration of the Issues</w:t>
      </w:r>
    </w:p>
    <w:p w:rsidR="00AD6D0D" w:rsidRPr="00CF19F8" w:rsidRDefault="00AD6D0D" w:rsidP="00CF19F8">
      <w:pPr>
        <w:pStyle w:val="Heading3"/>
      </w:pPr>
      <w:bookmarkStart w:id="0" w:name="bookmark2"/>
      <w:r w:rsidRPr="00CF19F8">
        <w:t xml:space="preserve">Mr </w:t>
      </w:r>
      <w:r w:rsidR="00FA4AB7" w:rsidRPr="00CF19F8">
        <w:t>Y</w:t>
      </w:r>
      <w:r w:rsidRPr="00CF19F8">
        <w:t xml:space="preserve"> Account</w:t>
      </w:r>
      <w:bookmarkEnd w:id="0"/>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On 10 February 2004, Account </w:t>
      </w:r>
      <w:proofErr w:type="spellStart"/>
      <w:proofErr w:type="gramStart"/>
      <w:r w:rsidR="003D6D11">
        <w:rPr>
          <w:rFonts w:ascii="Arial" w:hAnsi="Arial" w:cs="Arial"/>
          <w:sz w:val="22"/>
          <w:szCs w:val="22"/>
        </w:rPr>
        <w:t>XXXXX</w:t>
      </w:r>
      <w:proofErr w:type="spellEnd"/>
      <w:r w:rsidRPr="003D6457">
        <w:rPr>
          <w:rFonts w:ascii="Arial" w:hAnsi="Arial" w:cs="Arial"/>
          <w:sz w:val="22"/>
          <w:szCs w:val="22"/>
        </w:rPr>
        <w:t>,</w:t>
      </w:r>
      <w:proofErr w:type="gramEnd"/>
      <w:r w:rsidRPr="003D6457">
        <w:rPr>
          <w:rFonts w:ascii="Arial" w:hAnsi="Arial" w:cs="Arial"/>
          <w:sz w:val="22"/>
          <w:szCs w:val="22"/>
        </w:rPr>
        <w:t xml:space="preserve"> was opened under the name of Mr </w:t>
      </w:r>
      <w:r w:rsidR="00FA4AB7">
        <w:rPr>
          <w:rFonts w:ascii="Arial" w:hAnsi="Arial" w:cs="Arial"/>
          <w:sz w:val="22"/>
          <w:szCs w:val="22"/>
        </w:rPr>
        <w:t>Y</w:t>
      </w:r>
      <w:r w:rsidRPr="003D6457">
        <w:rPr>
          <w:rFonts w:ascii="Arial" w:hAnsi="Arial" w:cs="Arial"/>
          <w:sz w:val="22"/>
          <w:szCs w:val="22"/>
        </w:rPr>
        <w:t xml:space="preserve"> with </w:t>
      </w:r>
      <w:proofErr w:type="spellStart"/>
      <w:r w:rsidRPr="003D6457">
        <w:rPr>
          <w:rFonts w:ascii="Arial" w:hAnsi="Arial" w:cs="Arial"/>
          <w:sz w:val="22"/>
          <w:szCs w:val="22"/>
        </w:rPr>
        <w:t>Sportingbet</w:t>
      </w:r>
      <w:proofErr w:type="spellEnd"/>
      <w:r w:rsidRPr="003D6457">
        <w:rPr>
          <w:rFonts w:ascii="Arial" w:hAnsi="Arial" w:cs="Arial"/>
          <w:sz w:val="22"/>
          <w:szCs w:val="22"/>
        </w:rPr>
        <w:t xml:space="preserve"> Australia (</w:t>
      </w:r>
      <w:proofErr w:type="spellStart"/>
      <w:r w:rsidRPr="003D6457">
        <w:rPr>
          <w:rFonts w:ascii="Arial" w:hAnsi="Arial" w:cs="Arial"/>
          <w:sz w:val="22"/>
          <w:szCs w:val="22"/>
        </w:rPr>
        <w:t>Sportingbet</w:t>
      </w:r>
      <w:proofErr w:type="spellEnd"/>
      <w:r w:rsidRPr="003D6457">
        <w:rPr>
          <w:rFonts w:ascii="Arial" w:hAnsi="Arial" w:cs="Arial"/>
          <w:sz w:val="22"/>
          <w:szCs w:val="22"/>
        </w:rPr>
        <w:t>).</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Both </w:t>
      </w:r>
      <w:proofErr w:type="spellStart"/>
      <w:r w:rsidRPr="003D6457">
        <w:rPr>
          <w:rFonts w:ascii="Arial" w:hAnsi="Arial" w:cs="Arial"/>
          <w:sz w:val="22"/>
          <w:szCs w:val="22"/>
        </w:rPr>
        <w:t>Sportingbet</w:t>
      </w:r>
      <w:proofErr w:type="spellEnd"/>
      <w:r w:rsidRPr="003D6457">
        <w:rPr>
          <w:rFonts w:ascii="Arial" w:hAnsi="Arial" w:cs="Arial"/>
          <w:sz w:val="22"/>
          <w:szCs w:val="22"/>
        </w:rPr>
        <w:t xml:space="preserve"> and William Hill are Australian wholly owned subsidiaries of William Hill Plc, and held at all material times, a licence under Section 90 of the Act to conduct business as a sports bookmaker in the Northern Territory</w:t>
      </w:r>
      <w:proofErr w:type="gramStart"/>
      <w:r w:rsidRPr="003D6457">
        <w:rPr>
          <w:rFonts w:ascii="Arial" w:hAnsi="Arial" w:cs="Arial"/>
          <w:sz w:val="22"/>
          <w:szCs w:val="22"/>
        </w:rPr>
        <w:t xml:space="preserve">.  </w:t>
      </w:r>
      <w:proofErr w:type="spellStart"/>
      <w:proofErr w:type="gramEnd"/>
      <w:r w:rsidRPr="003D6457">
        <w:rPr>
          <w:rFonts w:ascii="Arial" w:hAnsi="Arial" w:cs="Arial"/>
          <w:sz w:val="22"/>
          <w:szCs w:val="22"/>
        </w:rPr>
        <w:t>Sportingbet</w:t>
      </w:r>
      <w:proofErr w:type="spellEnd"/>
      <w:r w:rsidRPr="003D6457">
        <w:rPr>
          <w:rFonts w:ascii="Arial" w:hAnsi="Arial" w:cs="Arial"/>
          <w:sz w:val="22"/>
          <w:szCs w:val="22"/>
        </w:rPr>
        <w:t xml:space="preserve"> and William Hill at all material times carried on such business in the Northern Territory under the name "</w:t>
      </w:r>
      <w:proofErr w:type="spellStart"/>
      <w:r w:rsidRPr="003D6457">
        <w:rPr>
          <w:rFonts w:ascii="Arial" w:hAnsi="Arial" w:cs="Arial"/>
          <w:sz w:val="22"/>
          <w:szCs w:val="22"/>
        </w:rPr>
        <w:t>Sportingbet</w:t>
      </w:r>
      <w:proofErr w:type="spellEnd"/>
      <w:r w:rsidRPr="003D6457">
        <w:rPr>
          <w:rFonts w:ascii="Arial" w:hAnsi="Arial" w:cs="Arial"/>
          <w:sz w:val="22"/>
          <w:szCs w:val="22"/>
        </w:rPr>
        <w:t xml:space="preserve"> Australia" and/or “William Hill” respectively.</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A printout of account </w:t>
      </w:r>
      <w:proofErr w:type="spellStart"/>
      <w:r w:rsidR="003D6D11">
        <w:rPr>
          <w:rFonts w:ascii="Arial" w:hAnsi="Arial" w:cs="Arial"/>
          <w:sz w:val="22"/>
          <w:szCs w:val="22"/>
        </w:rPr>
        <w:t>XXXXX</w:t>
      </w:r>
      <w:proofErr w:type="spellEnd"/>
      <w:r w:rsidRPr="003D6457">
        <w:rPr>
          <w:rFonts w:ascii="Arial" w:hAnsi="Arial" w:cs="Arial"/>
          <w:sz w:val="22"/>
          <w:szCs w:val="22"/>
        </w:rPr>
        <w:t xml:space="preserve"> shows wagers between 6 April 2015 and 23 March 2016.</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The bookmaker alleges Mr </w:t>
      </w:r>
      <w:r w:rsidR="00FA4AB7">
        <w:rPr>
          <w:rFonts w:ascii="Arial" w:hAnsi="Arial" w:cs="Arial"/>
          <w:sz w:val="22"/>
          <w:szCs w:val="22"/>
        </w:rPr>
        <w:t>Y</w:t>
      </w:r>
      <w:r w:rsidRPr="003D6457">
        <w:rPr>
          <w:rFonts w:ascii="Arial" w:hAnsi="Arial" w:cs="Arial"/>
          <w:sz w:val="22"/>
          <w:szCs w:val="22"/>
        </w:rPr>
        <w:t xml:space="preserve"> owes the amount of $9,974.85 being unpaid </w:t>
      </w:r>
      <w:proofErr w:type="spellStart"/>
      <w:r w:rsidRPr="003D6457">
        <w:rPr>
          <w:rFonts w:ascii="Arial" w:hAnsi="Arial" w:cs="Arial"/>
          <w:sz w:val="22"/>
          <w:szCs w:val="22"/>
        </w:rPr>
        <w:t>wagers</w:t>
      </w:r>
      <w:proofErr w:type="spellEnd"/>
      <w:r w:rsidRPr="003D6457">
        <w:rPr>
          <w:rFonts w:ascii="Arial" w:hAnsi="Arial" w:cs="Arial"/>
          <w:sz w:val="22"/>
          <w:szCs w:val="22"/>
        </w:rPr>
        <w:t>.</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In support of their claim the bookmaker has provided detailed financial transactions for Account </w:t>
      </w:r>
      <w:proofErr w:type="spellStart"/>
      <w:r w:rsidR="003D6D11">
        <w:rPr>
          <w:rFonts w:ascii="Arial" w:hAnsi="Arial" w:cs="Arial"/>
          <w:sz w:val="22"/>
          <w:szCs w:val="22"/>
        </w:rPr>
        <w:t>XXXXX</w:t>
      </w:r>
      <w:proofErr w:type="spellEnd"/>
      <w:r w:rsidR="003D6D11" w:rsidRPr="003D6457">
        <w:rPr>
          <w:rFonts w:ascii="Arial" w:hAnsi="Arial" w:cs="Arial"/>
          <w:sz w:val="22"/>
          <w:szCs w:val="22"/>
        </w:rPr>
        <w:t xml:space="preserve"> </w:t>
      </w:r>
      <w:r w:rsidRPr="003D6457">
        <w:rPr>
          <w:rFonts w:ascii="Arial" w:hAnsi="Arial" w:cs="Arial"/>
          <w:sz w:val="22"/>
          <w:szCs w:val="22"/>
        </w:rPr>
        <w:t>for the period of 6 April 2015 and 23 March 2016.</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lastRenderedPageBreak/>
        <w:t xml:space="preserve">The records show that Mr </w:t>
      </w:r>
      <w:r w:rsidR="00FA4AB7">
        <w:rPr>
          <w:rFonts w:ascii="Arial" w:hAnsi="Arial" w:cs="Arial"/>
          <w:sz w:val="22"/>
          <w:szCs w:val="22"/>
        </w:rPr>
        <w:t>Y</w:t>
      </w:r>
      <w:r w:rsidRPr="003D6457">
        <w:rPr>
          <w:rFonts w:ascii="Arial" w:hAnsi="Arial" w:cs="Arial"/>
          <w:sz w:val="22"/>
          <w:szCs w:val="22"/>
        </w:rPr>
        <w:t xml:space="preserve"> withdrew a balance of $7,934.00 from his </w:t>
      </w:r>
      <w:proofErr w:type="spellStart"/>
      <w:r w:rsidRPr="003D6457">
        <w:rPr>
          <w:rFonts w:ascii="Arial" w:hAnsi="Arial" w:cs="Arial"/>
          <w:sz w:val="22"/>
          <w:szCs w:val="22"/>
        </w:rPr>
        <w:t>Sportingbet</w:t>
      </w:r>
      <w:proofErr w:type="spellEnd"/>
      <w:r w:rsidRPr="003D6457">
        <w:rPr>
          <w:rFonts w:ascii="Arial" w:hAnsi="Arial" w:cs="Arial"/>
          <w:sz w:val="22"/>
          <w:szCs w:val="22"/>
        </w:rPr>
        <w:t xml:space="preserve"> account on 28 April 2015</w:t>
      </w:r>
      <w:proofErr w:type="gramStart"/>
      <w:r w:rsidRPr="003D6457">
        <w:rPr>
          <w:rFonts w:ascii="Arial" w:hAnsi="Arial" w:cs="Arial"/>
          <w:sz w:val="22"/>
          <w:szCs w:val="22"/>
        </w:rPr>
        <w:t xml:space="preserve">.  </w:t>
      </w:r>
      <w:proofErr w:type="gramEnd"/>
      <w:r w:rsidRPr="003D6457">
        <w:rPr>
          <w:rFonts w:ascii="Arial" w:hAnsi="Arial" w:cs="Arial"/>
          <w:sz w:val="22"/>
          <w:szCs w:val="22"/>
        </w:rPr>
        <w:t xml:space="preserve">This resulted in Mr </w:t>
      </w:r>
      <w:r w:rsidR="00FA4AB7">
        <w:rPr>
          <w:rFonts w:ascii="Arial" w:hAnsi="Arial" w:cs="Arial"/>
          <w:sz w:val="22"/>
          <w:szCs w:val="22"/>
        </w:rPr>
        <w:t>Y</w:t>
      </w:r>
      <w:r w:rsidRPr="003D6457">
        <w:rPr>
          <w:rFonts w:ascii="Arial" w:hAnsi="Arial" w:cs="Arial"/>
          <w:sz w:val="22"/>
          <w:szCs w:val="22"/>
        </w:rPr>
        <w:t>’s account having a balance of $0.</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From 1 May 2015 to 20 June 2015, Mr </w:t>
      </w:r>
      <w:r w:rsidR="00FA4AB7">
        <w:rPr>
          <w:rFonts w:ascii="Arial" w:hAnsi="Arial" w:cs="Arial"/>
          <w:sz w:val="22"/>
          <w:szCs w:val="22"/>
        </w:rPr>
        <w:t>Y</w:t>
      </w:r>
      <w:r w:rsidRPr="003D6457">
        <w:rPr>
          <w:rFonts w:ascii="Arial" w:hAnsi="Arial" w:cs="Arial"/>
          <w:sz w:val="22"/>
          <w:szCs w:val="22"/>
        </w:rPr>
        <w:t xml:space="preserve"> made 21 wagers resulting in an account balance of -$9,974.85.</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An email Letter of Demand to recover $9,974.85 was issued to Mr </w:t>
      </w:r>
      <w:r w:rsidR="00FA4AB7">
        <w:rPr>
          <w:rFonts w:ascii="Arial" w:hAnsi="Arial" w:cs="Arial"/>
          <w:sz w:val="22"/>
          <w:szCs w:val="22"/>
        </w:rPr>
        <w:t>Y</w:t>
      </w:r>
      <w:r w:rsidRPr="003D6457">
        <w:rPr>
          <w:rFonts w:ascii="Arial" w:hAnsi="Arial" w:cs="Arial"/>
          <w:sz w:val="22"/>
          <w:szCs w:val="22"/>
        </w:rPr>
        <w:t xml:space="preserve"> on 15 September 2015.</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Subsequently a Notice of Assignment pursuant to section 182 of the Law of Property Act 2000 (NT) was sent to Mr </w:t>
      </w:r>
      <w:r w:rsidR="00FA4AB7">
        <w:rPr>
          <w:rFonts w:ascii="Arial" w:hAnsi="Arial" w:cs="Arial"/>
          <w:sz w:val="22"/>
          <w:szCs w:val="22"/>
        </w:rPr>
        <w:t>Y</w:t>
      </w:r>
      <w:r w:rsidRPr="003D6457">
        <w:rPr>
          <w:rFonts w:ascii="Arial" w:hAnsi="Arial" w:cs="Arial"/>
          <w:sz w:val="22"/>
          <w:szCs w:val="22"/>
        </w:rPr>
        <w:t xml:space="preserve"> and was attached to the papers for the Commission’s perusal</w:t>
      </w:r>
      <w:proofErr w:type="gramStart"/>
      <w:r w:rsidRPr="003D6457">
        <w:rPr>
          <w:rFonts w:ascii="Arial" w:hAnsi="Arial" w:cs="Arial"/>
          <w:sz w:val="22"/>
          <w:szCs w:val="22"/>
        </w:rPr>
        <w:t xml:space="preserve">.  </w:t>
      </w:r>
      <w:proofErr w:type="gramEnd"/>
      <w:r w:rsidRPr="003D6457">
        <w:rPr>
          <w:rFonts w:ascii="Arial" w:hAnsi="Arial" w:cs="Arial"/>
          <w:sz w:val="22"/>
          <w:szCs w:val="22"/>
        </w:rPr>
        <w:t xml:space="preserve">The Commission is satisfied that this notice signed under the hand of the Company Secretary of the Assignee and dated 23 March 2016 constitutes express written notice of assignment of debt to Mr </w:t>
      </w:r>
      <w:r w:rsidR="00FA4AB7">
        <w:rPr>
          <w:rFonts w:ascii="Arial" w:hAnsi="Arial" w:cs="Arial"/>
          <w:sz w:val="22"/>
          <w:szCs w:val="22"/>
        </w:rPr>
        <w:t>Y</w:t>
      </w:r>
      <w:r w:rsidRPr="003D6457">
        <w:rPr>
          <w:rFonts w:ascii="Arial" w:hAnsi="Arial" w:cs="Arial"/>
          <w:sz w:val="22"/>
          <w:szCs w:val="22"/>
        </w:rPr>
        <w:t xml:space="preserve"> as debtor.</w:t>
      </w:r>
    </w:p>
    <w:p w:rsidR="00AD6D0D" w:rsidRPr="003D6457" w:rsidRDefault="00AD6D0D" w:rsidP="00CF19F8">
      <w:pPr>
        <w:pStyle w:val="Heading3"/>
      </w:pPr>
      <w:bookmarkStart w:id="1" w:name="bookmark5"/>
      <w:r w:rsidRPr="003D6457">
        <w:t>Correspondence</w:t>
      </w:r>
      <w:bookmarkEnd w:id="1"/>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i/>
          <w:iCs/>
          <w:sz w:val="22"/>
          <w:szCs w:val="22"/>
        </w:rPr>
        <w:t xml:space="preserve">There is correspondence between the bookmaker’s representatives, and Mr </w:t>
      </w:r>
      <w:r w:rsidR="00FA4AB7">
        <w:rPr>
          <w:rFonts w:ascii="Arial" w:hAnsi="Arial" w:cs="Arial"/>
          <w:i/>
          <w:iCs/>
          <w:sz w:val="22"/>
          <w:szCs w:val="22"/>
        </w:rPr>
        <w:t>Y</w:t>
      </w:r>
      <w:r w:rsidRPr="003D6457">
        <w:rPr>
          <w:rFonts w:ascii="Arial" w:hAnsi="Arial" w:cs="Arial"/>
          <w:i/>
          <w:iCs/>
          <w:sz w:val="22"/>
          <w:szCs w:val="22"/>
        </w:rPr>
        <w:t xml:space="preserve"> and the bookmaker in relation to non-payment of the balance of the account</w:t>
      </w:r>
      <w:proofErr w:type="gramStart"/>
      <w:r w:rsidRPr="003D6457">
        <w:rPr>
          <w:rFonts w:ascii="Arial" w:hAnsi="Arial" w:cs="Arial"/>
          <w:i/>
          <w:iCs/>
          <w:sz w:val="22"/>
          <w:szCs w:val="22"/>
        </w:rPr>
        <w:t xml:space="preserve">.  </w:t>
      </w:r>
      <w:proofErr w:type="gramEnd"/>
      <w:r w:rsidRPr="003D6457">
        <w:rPr>
          <w:rFonts w:ascii="Arial" w:hAnsi="Arial" w:cs="Arial"/>
          <w:i/>
          <w:iCs/>
          <w:sz w:val="22"/>
          <w:szCs w:val="22"/>
        </w:rPr>
        <w:t xml:space="preserve">It would appear from Mr </w:t>
      </w:r>
      <w:r w:rsidR="00FA4AB7">
        <w:rPr>
          <w:rFonts w:ascii="Arial" w:hAnsi="Arial" w:cs="Arial"/>
          <w:i/>
          <w:iCs/>
          <w:sz w:val="22"/>
          <w:szCs w:val="22"/>
        </w:rPr>
        <w:t>Y</w:t>
      </w:r>
      <w:r w:rsidRPr="003D6457">
        <w:rPr>
          <w:rFonts w:ascii="Arial" w:hAnsi="Arial" w:cs="Arial"/>
          <w:i/>
          <w:iCs/>
          <w:sz w:val="22"/>
          <w:szCs w:val="22"/>
        </w:rPr>
        <w:t>’s responses that he disputes the debt, stating on 15 September 2015 “…</w:t>
      </w:r>
      <w:r w:rsidRPr="003D6457">
        <w:rPr>
          <w:rFonts w:ascii="Arial" w:hAnsi="Arial" w:cs="Arial"/>
          <w:sz w:val="22"/>
          <w:szCs w:val="22"/>
        </w:rPr>
        <w:t xml:space="preserve">your Company changed the conditions of my Account with no consultation. I am a long term client and agreed to certain conditions with the previous owner of </w:t>
      </w:r>
      <w:proofErr w:type="spellStart"/>
      <w:r w:rsidRPr="003D6457">
        <w:rPr>
          <w:rFonts w:ascii="Arial" w:hAnsi="Arial" w:cs="Arial"/>
          <w:sz w:val="22"/>
          <w:szCs w:val="22"/>
        </w:rPr>
        <w:t>Sportingbet</w:t>
      </w:r>
      <w:proofErr w:type="spellEnd"/>
      <w:r w:rsidRPr="003D6457">
        <w:rPr>
          <w:rFonts w:ascii="Arial" w:hAnsi="Arial" w:cs="Arial"/>
          <w:sz w:val="22"/>
          <w:szCs w:val="22"/>
        </w:rPr>
        <w:t>. I will pass onto my lawyer as I believe you (</w:t>
      </w:r>
      <w:proofErr w:type="spellStart"/>
      <w:r w:rsidRPr="003D6457">
        <w:rPr>
          <w:rFonts w:ascii="Arial" w:hAnsi="Arial" w:cs="Arial"/>
          <w:sz w:val="22"/>
          <w:szCs w:val="22"/>
        </w:rPr>
        <w:t>Sportingbet</w:t>
      </w:r>
      <w:proofErr w:type="spellEnd"/>
      <w:r w:rsidRPr="003D6457">
        <w:rPr>
          <w:rFonts w:ascii="Arial" w:hAnsi="Arial" w:cs="Arial"/>
          <w:sz w:val="22"/>
          <w:szCs w:val="22"/>
        </w:rPr>
        <w:t>) have acted illegally and without proper disclosure”.</w:t>
      </w:r>
    </w:p>
    <w:p w:rsidR="00AD6D0D" w:rsidRPr="003D6457" w:rsidRDefault="00AD6D0D" w:rsidP="00CF19F8">
      <w:pPr>
        <w:pStyle w:val="Heading3"/>
      </w:pPr>
      <w:r w:rsidRPr="003D6457">
        <w:t xml:space="preserve">Submission from Mr </w:t>
      </w:r>
      <w:r w:rsidR="00FA4AB7">
        <w:t>Y</w:t>
      </w:r>
      <w:r w:rsidRPr="003D6457">
        <w:t xml:space="preserve"> disputing debit</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On 6 April 2016, Ms Natasha Brazier, Solicitor of </w:t>
      </w:r>
      <w:proofErr w:type="spellStart"/>
      <w:r w:rsidRPr="003D6457">
        <w:rPr>
          <w:rFonts w:ascii="Arial" w:hAnsi="Arial" w:cs="Arial"/>
          <w:sz w:val="22"/>
          <w:szCs w:val="22"/>
        </w:rPr>
        <w:t>DW</w:t>
      </w:r>
      <w:proofErr w:type="spellEnd"/>
      <w:r w:rsidRPr="003D6457">
        <w:rPr>
          <w:rFonts w:ascii="Arial" w:hAnsi="Arial" w:cs="Arial"/>
          <w:sz w:val="22"/>
          <w:szCs w:val="22"/>
        </w:rPr>
        <w:t xml:space="preserve"> Legal, on behalf of Mr </w:t>
      </w:r>
      <w:r w:rsidR="00FA4AB7">
        <w:rPr>
          <w:rFonts w:ascii="Arial" w:hAnsi="Arial" w:cs="Arial"/>
          <w:sz w:val="22"/>
          <w:szCs w:val="22"/>
        </w:rPr>
        <w:t>Y</w:t>
      </w:r>
      <w:r w:rsidRPr="003D6457">
        <w:rPr>
          <w:rFonts w:ascii="Arial" w:hAnsi="Arial" w:cs="Arial"/>
          <w:sz w:val="22"/>
          <w:szCs w:val="22"/>
        </w:rPr>
        <w:t xml:space="preserve"> lodged a submission with Licensing NT in response to the Notice of </w:t>
      </w:r>
      <w:r w:rsidRPr="003D6457">
        <w:rPr>
          <w:rFonts w:ascii="Arial" w:hAnsi="Arial" w:cs="Arial"/>
          <w:i/>
          <w:iCs/>
          <w:sz w:val="22"/>
          <w:szCs w:val="22"/>
        </w:rPr>
        <w:t>Assignment.</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The submission disputes the amount payable to </w:t>
      </w:r>
      <w:proofErr w:type="spellStart"/>
      <w:r w:rsidRPr="003D6457">
        <w:rPr>
          <w:rFonts w:ascii="Arial" w:hAnsi="Arial" w:cs="Arial"/>
          <w:sz w:val="22"/>
          <w:szCs w:val="22"/>
        </w:rPr>
        <w:t>Sportingbet</w:t>
      </w:r>
      <w:proofErr w:type="spellEnd"/>
      <w:r w:rsidRPr="003D6457">
        <w:rPr>
          <w:rFonts w:ascii="Arial" w:hAnsi="Arial" w:cs="Arial"/>
          <w:sz w:val="22"/>
          <w:szCs w:val="22"/>
        </w:rPr>
        <w:t xml:space="preserve"> by Mr </w:t>
      </w:r>
      <w:r w:rsidR="00FA4AB7">
        <w:rPr>
          <w:rFonts w:ascii="Arial" w:hAnsi="Arial" w:cs="Arial"/>
          <w:sz w:val="22"/>
          <w:szCs w:val="22"/>
        </w:rPr>
        <w:t>Y</w:t>
      </w:r>
      <w:proofErr w:type="gramStart"/>
      <w:r w:rsidRPr="003D6457">
        <w:rPr>
          <w:rFonts w:ascii="Arial" w:hAnsi="Arial" w:cs="Arial"/>
          <w:sz w:val="22"/>
          <w:szCs w:val="22"/>
        </w:rPr>
        <w:t xml:space="preserve">.  </w:t>
      </w:r>
      <w:proofErr w:type="gramEnd"/>
      <w:r w:rsidRPr="003D6457">
        <w:rPr>
          <w:rFonts w:ascii="Arial" w:hAnsi="Arial" w:cs="Arial"/>
          <w:sz w:val="22"/>
          <w:szCs w:val="22"/>
        </w:rPr>
        <w:t>The reasons outlined in the submission include.</w:t>
      </w:r>
    </w:p>
    <w:p w:rsidR="00AD6D0D" w:rsidRPr="003D6457" w:rsidRDefault="00AD6D0D" w:rsidP="00647A35">
      <w:pPr>
        <w:pStyle w:val="ListParagraph"/>
        <w:numPr>
          <w:ilvl w:val="0"/>
          <w:numId w:val="30"/>
        </w:numPr>
        <w:spacing w:before="120" w:after="120"/>
        <w:ind w:left="1134" w:hanging="357"/>
        <w:jc w:val="both"/>
        <w:rPr>
          <w:rFonts w:ascii="Arial" w:hAnsi="Arial" w:cs="Arial"/>
          <w:sz w:val="22"/>
          <w:szCs w:val="22"/>
        </w:rPr>
      </w:pPr>
      <w:r w:rsidRPr="003D6457">
        <w:rPr>
          <w:rFonts w:ascii="Arial" w:hAnsi="Arial" w:cs="Arial"/>
          <w:sz w:val="22"/>
          <w:szCs w:val="22"/>
        </w:rPr>
        <w:t>No Agreement;</w:t>
      </w:r>
    </w:p>
    <w:p w:rsidR="00F113E3" w:rsidRDefault="00AD6D0D" w:rsidP="00F113E3">
      <w:pPr>
        <w:pStyle w:val="ListParagraph"/>
        <w:numPr>
          <w:ilvl w:val="0"/>
          <w:numId w:val="30"/>
        </w:numPr>
        <w:spacing w:before="120" w:after="120"/>
        <w:ind w:left="1134" w:hanging="357"/>
        <w:jc w:val="both"/>
        <w:rPr>
          <w:rFonts w:ascii="Arial" w:hAnsi="Arial" w:cs="Arial"/>
          <w:sz w:val="22"/>
          <w:szCs w:val="22"/>
        </w:rPr>
      </w:pPr>
      <w:r w:rsidRPr="003D6457">
        <w:rPr>
          <w:rFonts w:ascii="Arial" w:hAnsi="Arial" w:cs="Arial"/>
          <w:sz w:val="22"/>
          <w:szCs w:val="22"/>
        </w:rPr>
        <w:t>No proof of assignment; and</w:t>
      </w:r>
    </w:p>
    <w:p w:rsidR="00F113E3" w:rsidRDefault="00AD6D0D" w:rsidP="00F113E3">
      <w:pPr>
        <w:pStyle w:val="ListParagraph"/>
        <w:numPr>
          <w:ilvl w:val="0"/>
          <w:numId w:val="30"/>
        </w:numPr>
        <w:spacing w:before="120" w:after="120"/>
        <w:ind w:left="1134" w:hanging="357"/>
        <w:jc w:val="both"/>
        <w:rPr>
          <w:rFonts w:ascii="Arial" w:hAnsi="Arial" w:cs="Arial"/>
          <w:sz w:val="22"/>
          <w:szCs w:val="22"/>
        </w:rPr>
      </w:pPr>
      <w:r w:rsidRPr="00F113E3">
        <w:rPr>
          <w:rFonts w:ascii="Arial" w:hAnsi="Arial" w:cs="Arial"/>
          <w:sz w:val="22"/>
          <w:szCs w:val="22"/>
        </w:rPr>
        <w:t>No notice of assignment.</w:t>
      </w:r>
      <w:r w:rsidR="003D6457" w:rsidRPr="00F113E3">
        <w:rPr>
          <w:rFonts w:ascii="Arial" w:hAnsi="Arial" w:cs="Arial"/>
          <w:sz w:val="22"/>
          <w:szCs w:val="22"/>
        </w:rPr>
        <w:t xml:space="preserve"> </w:t>
      </w:r>
    </w:p>
    <w:p w:rsidR="00AD6D0D" w:rsidRPr="00F113E3" w:rsidRDefault="00AD6D0D" w:rsidP="00F113E3">
      <w:pPr>
        <w:pStyle w:val="ListParagraph"/>
        <w:numPr>
          <w:ilvl w:val="0"/>
          <w:numId w:val="16"/>
        </w:numPr>
        <w:spacing w:after="240"/>
        <w:ind w:left="567" w:hanging="425"/>
        <w:jc w:val="both"/>
        <w:rPr>
          <w:rFonts w:ascii="Arial" w:hAnsi="Arial" w:cs="Arial"/>
          <w:sz w:val="22"/>
          <w:szCs w:val="22"/>
        </w:rPr>
      </w:pPr>
      <w:r w:rsidRPr="00F113E3">
        <w:rPr>
          <w:rFonts w:ascii="Arial" w:hAnsi="Arial" w:cs="Arial"/>
          <w:sz w:val="22"/>
          <w:szCs w:val="22"/>
        </w:rPr>
        <w:t xml:space="preserve">On 24 April 2016, Senior Compliance Officer Mark Wood, emailed Ms Brazier wishing to clarify Mr </w:t>
      </w:r>
      <w:r w:rsidR="00FA4AB7">
        <w:rPr>
          <w:rFonts w:ascii="Arial" w:hAnsi="Arial" w:cs="Arial"/>
          <w:sz w:val="22"/>
          <w:szCs w:val="22"/>
        </w:rPr>
        <w:t>Y</w:t>
      </w:r>
      <w:r w:rsidRPr="00F113E3">
        <w:rPr>
          <w:rFonts w:ascii="Arial" w:hAnsi="Arial" w:cs="Arial"/>
          <w:sz w:val="22"/>
          <w:szCs w:val="22"/>
        </w:rPr>
        <w:t>’s submission</w:t>
      </w:r>
      <w:proofErr w:type="gramStart"/>
      <w:r w:rsidRPr="00F113E3">
        <w:rPr>
          <w:rFonts w:ascii="Arial" w:hAnsi="Arial" w:cs="Arial"/>
          <w:sz w:val="22"/>
          <w:szCs w:val="22"/>
        </w:rPr>
        <w:t xml:space="preserve">.  </w:t>
      </w:r>
      <w:proofErr w:type="gramEnd"/>
      <w:r w:rsidRPr="00F113E3">
        <w:rPr>
          <w:rFonts w:ascii="Arial" w:hAnsi="Arial" w:cs="Arial"/>
          <w:sz w:val="22"/>
          <w:szCs w:val="22"/>
        </w:rPr>
        <w:t>Ms Brazier has provided no additional comments in relation to the request for clarification.</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bookmarkStart w:id="2" w:name="bookmark6"/>
      <w:r w:rsidRPr="003D6457">
        <w:rPr>
          <w:rFonts w:ascii="Arial" w:hAnsi="Arial" w:cs="Arial"/>
          <w:sz w:val="22"/>
          <w:szCs w:val="22"/>
        </w:rPr>
        <w:t>The Commission is bound by the Legislative provisions in dealing with lawful betting disputes</w:t>
      </w:r>
      <w:proofErr w:type="gramStart"/>
      <w:r w:rsidRPr="003D6457">
        <w:rPr>
          <w:rFonts w:ascii="Arial" w:hAnsi="Arial" w:cs="Arial"/>
          <w:sz w:val="22"/>
          <w:szCs w:val="22"/>
        </w:rPr>
        <w:t xml:space="preserve">.  </w:t>
      </w:r>
      <w:proofErr w:type="gramEnd"/>
      <w:r w:rsidRPr="003D6457">
        <w:rPr>
          <w:rFonts w:ascii="Arial" w:hAnsi="Arial" w:cs="Arial"/>
          <w:sz w:val="22"/>
          <w:szCs w:val="22"/>
        </w:rPr>
        <w:t>Section 85(4) of the Act requires the Commission on being referred any such dispute to hear and determine same.</w:t>
      </w:r>
      <w:bookmarkEnd w:id="2"/>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The </w:t>
      </w:r>
      <w:r w:rsidRPr="003D6457">
        <w:rPr>
          <w:rFonts w:ascii="Arial" w:hAnsi="Arial" w:cs="Arial"/>
          <w:i/>
          <w:iCs/>
          <w:sz w:val="22"/>
          <w:szCs w:val="22"/>
        </w:rPr>
        <w:t>Racing and Betting Act</w:t>
      </w:r>
      <w:r w:rsidRPr="003D6457">
        <w:rPr>
          <w:rFonts w:ascii="Arial" w:hAnsi="Arial" w:cs="Arial"/>
          <w:sz w:val="22"/>
          <w:szCs w:val="22"/>
        </w:rPr>
        <w:t xml:space="preserve"> provides for:</w:t>
      </w:r>
    </w:p>
    <w:p w:rsidR="00AD6D0D" w:rsidRPr="003D6457" w:rsidRDefault="00AD6D0D" w:rsidP="00AD6D0D">
      <w:pPr>
        <w:pStyle w:val="ListParagraph"/>
        <w:spacing w:after="240"/>
        <w:ind w:left="567"/>
        <w:jc w:val="both"/>
        <w:rPr>
          <w:rFonts w:ascii="Arial" w:hAnsi="Arial" w:cs="Arial"/>
          <w:b/>
          <w:i/>
          <w:sz w:val="22"/>
          <w:szCs w:val="22"/>
        </w:rPr>
      </w:pPr>
      <w:r w:rsidRPr="003D6457">
        <w:rPr>
          <w:rFonts w:ascii="Arial" w:hAnsi="Arial" w:cs="Arial"/>
          <w:b/>
          <w:i/>
          <w:sz w:val="22"/>
          <w:szCs w:val="22"/>
        </w:rPr>
        <w:t>85 Legal proceedings in respect of bets</w:t>
      </w:r>
    </w:p>
    <w:p w:rsidR="00AD6D0D" w:rsidRPr="003D6457" w:rsidRDefault="00AD6D0D" w:rsidP="00AD6D0D">
      <w:pPr>
        <w:pStyle w:val="Bodytext60"/>
        <w:shd w:val="clear" w:color="auto" w:fill="auto"/>
        <w:tabs>
          <w:tab w:val="left" w:pos="1418"/>
        </w:tabs>
        <w:spacing w:before="0" w:after="232"/>
        <w:ind w:left="1418" w:right="140" w:hanging="425"/>
        <w:rPr>
          <w:rFonts w:ascii="Arial" w:hAnsi="Arial" w:cs="Arial"/>
          <w:i/>
          <w:sz w:val="22"/>
          <w:szCs w:val="22"/>
        </w:rPr>
      </w:pPr>
      <w:bookmarkStart w:id="3" w:name="bookmark7"/>
      <w:r w:rsidRPr="003D6457">
        <w:rPr>
          <w:rFonts w:ascii="Arial" w:hAnsi="Arial" w:cs="Arial"/>
          <w:i/>
          <w:sz w:val="22"/>
          <w:szCs w:val="22"/>
        </w:rPr>
        <w:t xml:space="preserve">(1A) </w:t>
      </w:r>
      <w:proofErr w:type="gramStart"/>
      <w:r w:rsidRPr="003D6457">
        <w:rPr>
          <w:rFonts w:ascii="Arial" w:hAnsi="Arial" w:cs="Arial"/>
          <w:i/>
          <w:sz w:val="22"/>
          <w:szCs w:val="22"/>
        </w:rPr>
        <w:t>For</w:t>
      </w:r>
      <w:proofErr w:type="gramEnd"/>
      <w:r w:rsidRPr="003D6457">
        <w:rPr>
          <w:rFonts w:ascii="Arial" w:hAnsi="Arial" w:cs="Arial"/>
          <w:i/>
          <w:sz w:val="22"/>
          <w:szCs w:val="22"/>
        </w:rPr>
        <w:t xml:space="preserve"> the purposes of this section, a bet is not lawful if it is declared by the Commission, after an investigation in accordance with this section, to be not lawful.</w:t>
      </w:r>
    </w:p>
    <w:p w:rsidR="00AD6D0D" w:rsidRPr="003D6457" w:rsidRDefault="00AD6D0D" w:rsidP="00AD6D0D">
      <w:pPr>
        <w:pStyle w:val="Bodytext60"/>
        <w:numPr>
          <w:ilvl w:val="0"/>
          <w:numId w:val="28"/>
        </w:numPr>
        <w:shd w:val="clear" w:color="auto" w:fill="auto"/>
        <w:tabs>
          <w:tab w:val="left" w:pos="1418"/>
          <w:tab w:val="left" w:pos="1970"/>
        </w:tabs>
        <w:spacing w:before="0" w:line="230" w:lineRule="exact"/>
        <w:ind w:left="1418" w:right="140" w:hanging="425"/>
        <w:rPr>
          <w:rFonts w:ascii="Arial" w:hAnsi="Arial" w:cs="Arial"/>
          <w:i/>
          <w:sz w:val="22"/>
          <w:szCs w:val="22"/>
        </w:rPr>
      </w:pPr>
      <w:r w:rsidRPr="003D6457">
        <w:rPr>
          <w:rFonts w:ascii="Arial" w:hAnsi="Arial" w:cs="Arial"/>
          <w:i/>
          <w:sz w:val="22"/>
          <w:szCs w:val="22"/>
        </w:rPr>
        <w:t>Subject to this section, a person may take proceedings for the recovery of moneys payable on a winning lawful bet, or for the recovery of moneys payable by a bettor on account of a lawful bet made and accepted.</w:t>
      </w:r>
    </w:p>
    <w:p w:rsidR="00AD6D0D" w:rsidRPr="003D6457" w:rsidRDefault="00AD6D0D" w:rsidP="00AD6D0D">
      <w:pPr>
        <w:pStyle w:val="Bodytext60"/>
        <w:numPr>
          <w:ilvl w:val="0"/>
          <w:numId w:val="28"/>
        </w:numPr>
        <w:shd w:val="clear" w:color="auto" w:fill="auto"/>
        <w:tabs>
          <w:tab w:val="left" w:pos="1418"/>
          <w:tab w:val="left" w:pos="1975"/>
        </w:tabs>
        <w:spacing w:before="0" w:after="300" w:line="230" w:lineRule="exact"/>
        <w:ind w:left="1418" w:right="140" w:hanging="425"/>
        <w:rPr>
          <w:rFonts w:ascii="Arial" w:hAnsi="Arial" w:cs="Arial"/>
          <w:i/>
          <w:sz w:val="22"/>
          <w:szCs w:val="22"/>
        </w:rPr>
      </w:pPr>
      <w:r w:rsidRPr="003D6457">
        <w:rPr>
          <w:rFonts w:ascii="Arial" w:hAnsi="Arial" w:cs="Arial"/>
          <w:i/>
          <w:sz w:val="22"/>
          <w:szCs w:val="22"/>
        </w:rPr>
        <w:lastRenderedPageBreak/>
        <w:t>Where a dispute relating to lawful betting occurs between a bookmaker and a person, the dispute shall be referred by the bookmaker, and may be referred by the other party to the dispute, to the Commission.</w:t>
      </w:r>
    </w:p>
    <w:p w:rsidR="00AD6D0D" w:rsidRPr="003D6457" w:rsidRDefault="00AD6D0D" w:rsidP="00AD6D0D">
      <w:pPr>
        <w:pStyle w:val="Bodytext60"/>
        <w:shd w:val="clear" w:color="auto" w:fill="auto"/>
        <w:tabs>
          <w:tab w:val="left" w:pos="1418"/>
        </w:tabs>
        <w:spacing w:before="0" w:line="230" w:lineRule="exact"/>
        <w:ind w:left="1418" w:hanging="425"/>
        <w:jc w:val="left"/>
        <w:rPr>
          <w:rFonts w:ascii="Arial" w:hAnsi="Arial" w:cs="Arial"/>
          <w:i/>
          <w:sz w:val="22"/>
          <w:szCs w:val="22"/>
        </w:rPr>
      </w:pPr>
      <w:r w:rsidRPr="003D6457">
        <w:rPr>
          <w:rFonts w:ascii="Arial" w:hAnsi="Arial" w:cs="Arial"/>
          <w:i/>
          <w:sz w:val="22"/>
          <w:szCs w:val="22"/>
        </w:rPr>
        <w:t xml:space="preserve">(2A) Where it appears to the Commission, on the complaint of a person or of its own motion, that a sporting event (other than a horse race, trotting race or greyhound race) may not have been fairly or lawfully conducted or for any other reason the result of the event, either generally or in relation to a particular bet or class of bets, is not what would </w:t>
      </w:r>
      <w:r w:rsidR="003D6457" w:rsidRPr="003D6457">
        <w:rPr>
          <w:rFonts w:ascii="Arial" w:hAnsi="Arial" w:cs="Arial"/>
          <w:i/>
          <w:sz w:val="22"/>
          <w:szCs w:val="22"/>
        </w:rPr>
        <w:t xml:space="preserve">be legitimately expected if all </w:t>
      </w:r>
      <w:r w:rsidRPr="003D6457">
        <w:rPr>
          <w:rFonts w:ascii="Arial" w:hAnsi="Arial" w:cs="Arial"/>
          <w:i/>
          <w:sz w:val="22"/>
          <w:szCs w:val="22"/>
        </w:rPr>
        <w:t>steps in the proceedings of the event or the declaration of its result were honestly and fairly conducted or declared, the Commission may declare the event to constitute a dispute for the purposes of this section and declare any person to be a party to the dispute.</w:t>
      </w:r>
    </w:p>
    <w:p w:rsidR="00AD6D0D" w:rsidRPr="003D6457" w:rsidRDefault="00AD6D0D" w:rsidP="00AD6D0D">
      <w:pPr>
        <w:pStyle w:val="Bodytext60"/>
        <w:numPr>
          <w:ilvl w:val="0"/>
          <w:numId w:val="28"/>
        </w:numPr>
        <w:shd w:val="clear" w:color="auto" w:fill="auto"/>
        <w:tabs>
          <w:tab w:val="left" w:pos="1418"/>
          <w:tab w:val="left" w:pos="1970"/>
        </w:tabs>
        <w:spacing w:before="0" w:line="230" w:lineRule="exact"/>
        <w:ind w:left="1418" w:right="140" w:hanging="425"/>
        <w:rPr>
          <w:rFonts w:ascii="Arial" w:hAnsi="Arial" w:cs="Arial"/>
          <w:i/>
          <w:sz w:val="22"/>
          <w:szCs w:val="22"/>
        </w:rPr>
      </w:pPr>
      <w:r w:rsidRPr="003D6457">
        <w:rPr>
          <w:rFonts w:ascii="Arial" w:hAnsi="Arial" w:cs="Arial"/>
          <w:i/>
          <w:sz w:val="22"/>
          <w:szCs w:val="22"/>
        </w:rPr>
        <w:t>Where a dispute has been referred under subsection (1) to the Commission or declared under subsection (2A), the Commission may:</w:t>
      </w:r>
    </w:p>
    <w:p w:rsidR="00AD6D0D" w:rsidRPr="003D6457" w:rsidRDefault="00AD6D0D" w:rsidP="00AD6D0D">
      <w:pPr>
        <w:pStyle w:val="Bodytext60"/>
        <w:numPr>
          <w:ilvl w:val="0"/>
          <w:numId w:val="29"/>
        </w:numPr>
        <w:shd w:val="clear" w:color="auto" w:fill="auto"/>
        <w:tabs>
          <w:tab w:val="left" w:pos="1418"/>
          <w:tab w:val="left" w:pos="1966"/>
        </w:tabs>
        <w:spacing w:before="0" w:after="190" w:line="230" w:lineRule="exact"/>
        <w:ind w:left="1418" w:right="140" w:hanging="425"/>
        <w:rPr>
          <w:rFonts w:ascii="Arial" w:hAnsi="Arial" w:cs="Arial"/>
          <w:i/>
          <w:sz w:val="22"/>
          <w:szCs w:val="22"/>
        </w:rPr>
      </w:pPr>
      <w:r w:rsidRPr="003D6457">
        <w:rPr>
          <w:rFonts w:ascii="Arial" w:hAnsi="Arial" w:cs="Arial"/>
          <w:i/>
          <w:sz w:val="22"/>
          <w:szCs w:val="22"/>
        </w:rPr>
        <w:t>summon the parties to the dispute to appear and to give evidence before it;</w:t>
      </w:r>
    </w:p>
    <w:p w:rsidR="00AD6D0D" w:rsidRPr="003D6457" w:rsidRDefault="00AD6D0D" w:rsidP="00AD6D0D">
      <w:pPr>
        <w:pStyle w:val="Bodytext60"/>
        <w:numPr>
          <w:ilvl w:val="0"/>
          <w:numId w:val="29"/>
        </w:numPr>
        <w:shd w:val="clear" w:color="auto" w:fill="auto"/>
        <w:tabs>
          <w:tab w:val="left" w:pos="1418"/>
          <w:tab w:val="left" w:pos="1966"/>
        </w:tabs>
        <w:spacing w:before="0" w:after="254" w:line="268" w:lineRule="exact"/>
        <w:ind w:left="1418" w:hanging="425"/>
        <w:rPr>
          <w:rFonts w:ascii="Arial" w:hAnsi="Arial" w:cs="Arial"/>
          <w:i/>
          <w:sz w:val="22"/>
          <w:szCs w:val="22"/>
        </w:rPr>
      </w:pPr>
      <w:r w:rsidRPr="003D6457">
        <w:rPr>
          <w:rFonts w:ascii="Arial" w:hAnsi="Arial" w:cs="Arial"/>
          <w:i/>
          <w:sz w:val="22"/>
          <w:szCs w:val="22"/>
        </w:rPr>
        <w:t>take evidence relating to the dispute from other persons; and</w:t>
      </w:r>
    </w:p>
    <w:p w:rsidR="00AD6D0D" w:rsidRPr="003D6457" w:rsidRDefault="00AD6D0D" w:rsidP="00AD6D0D">
      <w:pPr>
        <w:pStyle w:val="Bodytext60"/>
        <w:numPr>
          <w:ilvl w:val="0"/>
          <w:numId w:val="29"/>
        </w:numPr>
        <w:shd w:val="clear" w:color="auto" w:fill="auto"/>
        <w:tabs>
          <w:tab w:val="left" w:pos="1418"/>
          <w:tab w:val="left" w:pos="1975"/>
        </w:tabs>
        <w:spacing w:before="0" w:line="226" w:lineRule="exact"/>
        <w:ind w:left="1418" w:right="140" w:hanging="425"/>
        <w:rPr>
          <w:rFonts w:ascii="Arial" w:hAnsi="Arial" w:cs="Arial"/>
          <w:i/>
          <w:sz w:val="22"/>
          <w:szCs w:val="22"/>
        </w:rPr>
      </w:pPr>
      <w:proofErr w:type="gramStart"/>
      <w:r w:rsidRPr="003D6457">
        <w:rPr>
          <w:rFonts w:ascii="Arial" w:hAnsi="Arial" w:cs="Arial"/>
          <w:i/>
          <w:sz w:val="22"/>
          <w:szCs w:val="22"/>
        </w:rPr>
        <w:t>require</w:t>
      </w:r>
      <w:proofErr w:type="gramEnd"/>
      <w:r w:rsidRPr="003D6457">
        <w:rPr>
          <w:rFonts w:ascii="Arial" w:hAnsi="Arial" w:cs="Arial"/>
          <w:i/>
          <w:sz w:val="22"/>
          <w:szCs w:val="22"/>
        </w:rPr>
        <w:t xml:space="preserve"> a party to the dispute to produce any books, accounts, tickets or other documents which, in the opinion of the Commission, ought to be examined in order to determine the dispute.</w:t>
      </w:r>
    </w:p>
    <w:p w:rsidR="00AD6D0D" w:rsidRPr="003D6457" w:rsidRDefault="00AD6D0D" w:rsidP="00AD6D0D">
      <w:pPr>
        <w:pStyle w:val="Bodytext60"/>
        <w:numPr>
          <w:ilvl w:val="0"/>
          <w:numId w:val="28"/>
        </w:numPr>
        <w:shd w:val="clear" w:color="auto" w:fill="auto"/>
        <w:tabs>
          <w:tab w:val="left" w:pos="1418"/>
          <w:tab w:val="left" w:pos="1980"/>
        </w:tabs>
        <w:spacing w:before="0" w:after="284" w:line="226" w:lineRule="exact"/>
        <w:ind w:left="1418" w:right="140" w:hanging="425"/>
        <w:rPr>
          <w:rFonts w:ascii="Arial" w:hAnsi="Arial" w:cs="Arial"/>
          <w:i/>
          <w:sz w:val="22"/>
          <w:szCs w:val="22"/>
        </w:rPr>
      </w:pPr>
      <w:r w:rsidRPr="003D6457">
        <w:rPr>
          <w:rFonts w:ascii="Arial" w:hAnsi="Arial" w:cs="Arial"/>
          <w:i/>
          <w:sz w:val="22"/>
          <w:szCs w:val="22"/>
        </w:rPr>
        <w:t>The Commission shall hear and determine all disputes referred to it under this section.</w:t>
      </w:r>
    </w:p>
    <w:p w:rsidR="00AD6D0D" w:rsidRPr="003D6457" w:rsidRDefault="00AD6D0D" w:rsidP="00CF19F8">
      <w:pPr>
        <w:pStyle w:val="Heading3"/>
      </w:pPr>
      <w:r w:rsidRPr="003D6457">
        <w:t>Civil proceedings</w:t>
      </w:r>
      <w:bookmarkEnd w:id="3"/>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As noted this referred dispute has its genesis in a civil action commenced or indicated to be taken by the bookmaker through its assignee William Hill Australia Wagering Pty Limited </w:t>
      </w:r>
      <w:proofErr w:type="spellStart"/>
      <w:r w:rsidRPr="003D6457">
        <w:rPr>
          <w:rFonts w:ascii="Arial" w:hAnsi="Arial" w:cs="Arial"/>
          <w:sz w:val="22"/>
          <w:szCs w:val="22"/>
        </w:rPr>
        <w:t>ACN</w:t>
      </w:r>
      <w:proofErr w:type="spellEnd"/>
      <w:r w:rsidRPr="003D6457">
        <w:rPr>
          <w:rFonts w:ascii="Arial" w:hAnsi="Arial" w:cs="Arial"/>
          <w:sz w:val="22"/>
          <w:szCs w:val="22"/>
        </w:rPr>
        <w:t xml:space="preserve"> 106 487 736 for recovery of the assigned debt.</w:t>
      </w:r>
    </w:p>
    <w:p w:rsidR="00AD6D0D" w:rsidRPr="003D6457" w:rsidRDefault="00AD6D0D" w:rsidP="00CF19F8">
      <w:pPr>
        <w:pStyle w:val="Heading3"/>
      </w:pPr>
      <w:r w:rsidRPr="003D6457">
        <w:t>Decision findings</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The Northern Territory Racing Commission is given as a matter of policy, a jurisdiction over Sports Bookmakers</w:t>
      </w:r>
      <w:proofErr w:type="gramStart"/>
      <w:r w:rsidRPr="003D6457">
        <w:rPr>
          <w:rFonts w:ascii="Arial" w:hAnsi="Arial" w:cs="Arial"/>
          <w:sz w:val="22"/>
          <w:szCs w:val="22"/>
        </w:rPr>
        <w:t xml:space="preserve">.  </w:t>
      </w:r>
      <w:proofErr w:type="gramEnd"/>
      <w:r w:rsidRPr="003D6457">
        <w:rPr>
          <w:rFonts w:ascii="Arial" w:hAnsi="Arial" w:cs="Arial"/>
          <w:sz w:val="22"/>
          <w:szCs w:val="22"/>
        </w:rPr>
        <w:t>A Sports Bookmaker is a person to whom a licence is granted under section 90 of the Act and, where the person is a corporation, includes the nominee whose name is endorsed on the licence document as required by section 90(5A)</w:t>
      </w:r>
      <w:proofErr w:type="gramStart"/>
      <w:r w:rsidRPr="003D6457">
        <w:rPr>
          <w:rFonts w:ascii="Arial" w:hAnsi="Arial" w:cs="Arial"/>
          <w:sz w:val="22"/>
          <w:szCs w:val="22"/>
        </w:rPr>
        <w:t xml:space="preserve">.  </w:t>
      </w:r>
      <w:proofErr w:type="gramEnd"/>
      <w:r w:rsidRPr="003D6457">
        <w:rPr>
          <w:rFonts w:ascii="Arial" w:hAnsi="Arial" w:cs="Arial"/>
          <w:sz w:val="22"/>
          <w:szCs w:val="22"/>
        </w:rPr>
        <w:t>In addition a lawful bookmaker is defined in section 3 of the Unlawful Betting Act 1989 (NT) to mean a person licensed or registered as a bookmaker under the Racing and Betting Act which Act defines under section 4(1) a bookmaker to mean a person who is a sports bookmaker, a registered bookmaker or a country bookmaker.</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William Hill and </w:t>
      </w:r>
      <w:proofErr w:type="spellStart"/>
      <w:r w:rsidRPr="003D6457">
        <w:rPr>
          <w:rFonts w:ascii="Arial" w:hAnsi="Arial" w:cs="Arial"/>
          <w:sz w:val="22"/>
          <w:szCs w:val="22"/>
        </w:rPr>
        <w:t>Sportingbet</w:t>
      </w:r>
      <w:proofErr w:type="spellEnd"/>
      <w:r w:rsidRPr="003D6457">
        <w:rPr>
          <w:rFonts w:ascii="Arial" w:hAnsi="Arial" w:cs="Arial"/>
          <w:sz w:val="22"/>
          <w:szCs w:val="22"/>
        </w:rPr>
        <w:t xml:space="preserve"> Australia carried on businesses as licenced Sports Bookmakers in Australia under licences granted under the provisions of Section 90 of the Act and as such were authorised to accept lawful bets</w:t>
      </w:r>
      <w:proofErr w:type="gramStart"/>
      <w:r w:rsidRPr="003D6457">
        <w:rPr>
          <w:rFonts w:ascii="Arial" w:hAnsi="Arial" w:cs="Arial"/>
          <w:sz w:val="22"/>
          <w:szCs w:val="22"/>
        </w:rPr>
        <w:t xml:space="preserve">.  </w:t>
      </w:r>
      <w:proofErr w:type="gramEnd"/>
      <w:r w:rsidRPr="003D6457">
        <w:rPr>
          <w:rFonts w:ascii="Arial" w:hAnsi="Arial" w:cs="Arial"/>
          <w:sz w:val="22"/>
          <w:szCs w:val="22"/>
        </w:rPr>
        <w:t xml:space="preserve">Mr </w:t>
      </w:r>
      <w:r w:rsidR="00FA4AB7">
        <w:rPr>
          <w:rFonts w:ascii="Arial" w:hAnsi="Arial" w:cs="Arial"/>
          <w:sz w:val="22"/>
          <w:szCs w:val="22"/>
        </w:rPr>
        <w:t>Y</w:t>
      </w:r>
      <w:r w:rsidRPr="003D6457">
        <w:rPr>
          <w:rFonts w:ascii="Arial" w:hAnsi="Arial" w:cs="Arial"/>
          <w:sz w:val="22"/>
          <w:szCs w:val="22"/>
        </w:rPr>
        <w:t xml:space="preserve"> opened and operated account number </w:t>
      </w:r>
      <w:proofErr w:type="spellStart"/>
      <w:r w:rsidR="003D6D11">
        <w:rPr>
          <w:rFonts w:ascii="Arial" w:hAnsi="Arial" w:cs="Arial"/>
          <w:sz w:val="22"/>
          <w:szCs w:val="22"/>
        </w:rPr>
        <w:t>XXXXX</w:t>
      </w:r>
      <w:proofErr w:type="spellEnd"/>
      <w:r w:rsidRPr="003D6457">
        <w:rPr>
          <w:rFonts w:ascii="Arial" w:hAnsi="Arial" w:cs="Arial"/>
          <w:sz w:val="22"/>
          <w:szCs w:val="22"/>
        </w:rPr>
        <w:t xml:space="preserve"> from 10 February 2004 with </w:t>
      </w:r>
      <w:proofErr w:type="spellStart"/>
      <w:r w:rsidRPr="003D6457">
        <w:rPr>
          <w:rFonts w:ascii="Arial" w:hAnsi="Arial" w:cs="Arial"/>
          <w:sz w:val="22"/>
          <w:szCs w:val="22"/>
        </w:rPr>
        <w:t>Sportingbet</w:t>
      </w:r>
      <w:proofErr w:type="spellEnd"/>
      <w:r w:rsidRPr="003D6457">
        <w:rPr>
          <w:rFonts w:ascii="Arial" w:hAnsi="Arial" w:cs="Arial"/>
          <w:sz w:val="22"/>
          <w:szCs w:val="22"/>
        </w:rPr>
        <w:t xml:space="preserve"> Australia and later William Hill with the same allocated account number throughout</w:t>
      </w:r>
      <w:proofErr w:type="gramStart"/>
      <w:r w:rsidRPr="003D6457">
        <w:rPr>
          <w:rFonts w:ascii="Arial" w:hAnsi="Arial" w:cs="Arial"/>
          <w:sz w:val="22"/>
          <w:szCs w:val="22"/>
        </w:rPr>
        <w:t xml:space="preserve">.  </w:t>
      </w:r>
      <w:proofErr w:type="gramEnd"/>
      <w:r w:rsidRPr="003D6457">
        <w:rPr>
          <w:rFonts w:ascii="Arial" w:hAnsi="Arial" w:cs="Arial"/>
          <w:sz w:val="22"/>
          <w:szCs w:val="22"/>
        </w:rPr>
        <w:t xml:space="preserve">Numerous bets were placed over time by Mr </w:t>
      </w:r>
      <w:r w:rsidR="00FA4AB7">
        <w:rPr>
          <w:rFonts w:ascii="Arial" w:hAnsi="Arial" w:cs="Arial"/>
          <w:sz w:val="22"/>
          <w:szCs w:val="22"/>
        </w:rPr>
        <w:t>Y</w:t>
      </w:r>
      <w:r w:rsidRPr="003D6457">
        <w:rPr>
          <w:rFonts w:ascii="Arial" w:hAnsi="Arial" w:cs="Arial"/>
          <w:sz w:val="22"/>
          <w:szCs w:val="22"/>
        </w:rPr>
        <w:t xml:space="preserve"> on his account and winning and losing bets accounted for in the running balances identified</w:t>
      </w:r>
      <w:proofErr w:type="gramStart"/>
      <w:r w:rsidRPr="003D6457">
        <w:rPr>
          <w:rFonts w:ascii="Arial" w:hAnsi="Arial" w:cs="Arial"/>
          <w:sz w:val="22"/>
          <w:szCs w:val="22"/>
        </w:rPr>
        <w:t xml:space="preserve">.  </w:t>
      </w:r>
      <w:proofErr w:type="gramEnd"/>
      <w:r w:rsidRPr="003D6457">
        <w:rPr>
          <w:rFonts w:ascii="Arial" w:hAnsi="Arial" w:cs="Arial"/>
          <w:sz w:val="22"/>
          <w:szCs w:val="22"/>
        </w:rPr>
        <w:t>A number of account holder withdrawals are identified in the form of outgoing bank transfers on this account holder’s transaction history between 6 April 2015 and 23 June 2016 (particulars submitted with the papers provided to this dispute).</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The submission put forward on behalf of Mr </w:t>
      </w:r>
      <w:r w:rsidR="00FA4AB7">
        <w:rPr>
          <w:rFonts w:ascii="Arial" w:hAnsi="Arial" w:cs="Arial"/>
          <w:sz w:val="22"/>
          <w:szCs w:val="22"/>
        </w:rPr>
        <w:t>Y</w:t>
      </w:r>
      <w:r w:rsidRPr="003D6457">
        <w:rPr>
          <w:rFonts w:ascii="Arial" w:hAnsi="Arial" w:cs="Arial"/>
          <w:sz w:val="22"/>
          <w:szCs w:val="22"/>
        </w:rPr>
        <w:t xml:space="preserve"> by his Counsel of there being no agreement between the Sports bookmaker and Mr </w:t>
      </w:r>
      <w:r w:rsidR="00FA4AB7">
        <w:rPr>
          <w:rFonts w:ascii="Arial" w:hAnsi="Arial" w:cs="Arial"/>
          <w:sz w:val="22"/>
          <w:szCs w:val="22"/>
        </w:rPr>
        <w:t>Y</w:t>
      </w:r>
      <w:r w:rsidRPr="003D6457">
        <w:rPr>
          <w:rFonts w:ascii="Arial" w:hAnsi="Arial" w:cs="Arial"/>
          <w:sz w:val="22"/>
          <w:szCs w:val="22"/>
        </w:rPr>
        <w:t xml:space="preserve"> obliging Mr </w:t>
      </w:r>
      <w:r w:rsidR="00FA4AB7">
        <w:rPr>
          <w:rFonts w:ascii="Arial" w:hAnsi="Arial" w:cs="Arial"/>
          <w:sz w:val="22"/>
          <w:szCs w:val="22"/>
        </w:rPr>
        <w:t>Y</w:t>
      </w:r>
      <w:r w:rsidRPr="003D6457">
        <w:rPr>
          <w:rFonts w:ascii="Arial" w:hAnsi="Arial" w:cs="Arial"/>
          <w:sz w:val="22"/>
          <w:szCs w:val="22"/>
        </w:rPr>
        <w:t xml:space="preserve"> to pay any amount to the bookmaker (in circumstances of settling bets between the parties to account number </w:t>
      </w:r>
      <w:proofErr w:type="spellStart"/>
      <w:r w:rsidR="003D6D11">
        <w:rPr>
          <w:rFonts w:ascii="Arial" w:hAnsi="Arial" w:cs="Arial"/>
          <w:sz w:val="22"/>
          <w:szCs w:val="22"/>
        </w:rPr>
        <w:lastRenderedPageBreak/>
        <w:t>XXXXX</w:t>
      </w:r>
      <w:proofErr w:type="spellEnd"/>
      <w:r w:rsidRPr="003D6457">
        <w:rPr>
          <w:rFonts w:ascii="Arial" w:hAnsi="Arial" w:cs="Arial"/>
          <w:sz w:val="22"/>
          <w:szCs w:val="22"/>
        </w:rPr>
        <w:t>) is noted but rejected</w:t>
      </w:r>
      <w:proofErr w:type="gramStart"/>
      <w:r w:rsidRPr="003D6457">
        <w:rPr>
          <w:rFonts w:ascii="Arial" w:hAnsi="Arial" w:cs="Arial"/>
          <w:sz w:val="22"/>
          <w:szCs w:val="22"/>
        </w:rPr>
        <w:t xml:space="preserve">.  </w:t>
      </w:r>
      <w:proofErr w:type="gramEnd"/>
      <w:r w:rsidRPr="003D6457">
        <w:rPr>
          <w:rFonts w:ascii="Arial" w:hAnsi="Arial" w:cs="Arial"/>
          <w:sz w:val="22"/>
          <w:szCs w:val="22"/>
        </w:rPr>
        <w:t xml:space="preserve">The Commission is satisfied that the procedures and terms of placing lawful bets with the licenced bookmaker are published on its website. Procedures followed enabled Mr </w:t>
      </w:r>
      <w:r w:rsidR="00FA4AB7">
        <w:rPr>
          <w:rFonts w:ascii="Arial" w:hAnsi="Arial" w:cs="Arial"/>
          <w:sz w:val="22"/>
          <w:szCs w:val="22"/>
        </w:rPr>
        <w:t>Y</w:t>
      </w:r>
      <w:r w:rsidRPr="003D6457">
        <w:rPr>
          <w:rFonts w:ascii="Arial" w:hAnsi="Arial" w:cs="Arial"/>
          <w:sz w:val="22"/>
          <w:szCs w:val="22"/>
        </w:rPr>
        <w:t xml:space="preserve"> to lawfully place bets with each bet forming a contract with </w:t>
      </w:r>
      <w:proofErr w:type="spellStart"/>
      <w:r w:rsidRPr="003D6457">
        <w:rPr>
          <w:rFonts w:ascii="Arial" w:hAnsi="Arial" w:cs="Arial"/>
          <w:sz w:val="22"/>
          <w:szCs w:val="22"/>
        </w:rPr>
        <w:t>Sportingbet</w:t>
      </w:r>
      <w:proofErr w:type="spellEnd"/>
      <w:r w:rsidRPr="003D6457">
        <w:rPr>
          <w:rFonts w:ascii="Arial" w:hAnsi="Arial" w:cs="Arial"/>
          <w:sz w:val="22"/>
          <w:szCs w:val="22"/>
        </w:rPr>
        <w:t xml:space="preserve"> and William Hill, entities licenced to accept bets in the Northern Territory.</w:t>
      </w:r>
    </w:p>
    <w:p w:rsidR="00AD6D0D" w:rsidRPr="003D6457" w:rsidRDefault="00AD6D0D" w:rsidP="00AD6D0D">
      <w:pPr>
        <w:pStyle w:val="ListParagraph"/>
        <w:numPr>
          <w:ilvl w:val="0"/>
          <w:numId w:val="16"/>
        </w:numPr>
        <w:spacing w:after="240"/>
        <w:ind w:left="567" w:hanging="425"/>
        <w:jc w:val="both"/>
        <w:rPr>
          <w:rFonts w:ascii="Arial" w:hAnsi="Arial" w:cs="Arial"/>
          <w:sz w:val="22"/>
          <w:szCs w:val="22"/>
        </w:rPr>
      </w:pPr>
      <w:r w:rsidRPr="003D6457">
        <w:rPr>
          <w:rFonts w:ascii="Arial" w:hAnsi="Arial" w:cs="Arial"/>
          <w:sz w:val="22"/>
          <w:szCs w:val="22"/>
        </w:rPr>
        <w:t xml:space="preserve">The Commission accepts as evidence of express notice of assignment of debt being given to Mr </w:t>
      </w:r>
      <w:r w:rsidR="00FA4AB7">
        <w:rPr>
          <w:rFonts w:ascii="Arial" w:hAnsi="Arial" w:cs="Arial"/>
          <w:sz w:val="22"/>
          <w:szCs w:val="22"/>
        </w:rPr>
        <w:t>Y</w:t>
      </w:r>
      <w:r w:rsidRPr="003D6457">
        <w:rPr>
          <w:rFonts w:ascii="Arial" w:hAnsi="Arial" w:cs="Arial"/>
          <w:sz w:val="22"/>
          <w:szCs w:val="22"/>
        </w:rPr>
        <w:t xml:space="preserve">, the copy notice dated 23 March 2016 addressed to Mr </w:t>
      </w:r>
      <w:r w:rsidR="00FA4AB7">
        <w:rPr>
          <w:rFonts w:ascii="Arial" w:hAnsi="Arial" w:cs="Arial"/>
          <w:sz w:val="22"/>
          <w:szCs w:val="22"/>
        </w:rPr>
        <w:t>Y</w:t>
      </w:r>
      <w:r w:rsidRPr="003D6457">
        <w:rPr>
          <w:rFonts w:ascii="Arial" w:hAnsi="Arial" w:cs="Arial"/>
          <w:sz w:val="22"/>
          <w:szCs w:val="22"/>
        </w:rPr>
        <w:t xml:space="preserve"> and placed before this Commission</w:t>
      </w:r>
      <w:proofErr w:type="gramStart"/>
      <w:r w:rsidRPr="003D6457">
        <w:rPr>
          <w:rFonts w:ascii="Arial" w:hAnsi="Arial" w:cs="Arial"/>
          <w:sz w:val="22"/>
          <w:szCs w:val="22"/>
        </w:rPr>
        <w:t xml:space="preserve">.  </w:t>
      </w:r>
      <w:proofErr w:type="gramEnd"/>
      <w:r w:rsidRPr="003D6457">
        <w:rPr>
          <w:rFonts w:ascii="Arial" w:hAnsi="Arial" w:cs="Arial"/>
          <w:sz w:val="22"/>
          <w:szCs w:val="22"/>
        </w:rPr>
        <w:t xml:space="preserve">It further accepts that all rights with respect to Mr </w:t>
      </w:r>
      <w:r w:rsidR="00FA4AB7">
        <w:rPr>
          <w:rFonts w:ascii="Arial" w:hAnsi="Arial" w:cs="Arial"/>
          <w:sz w:val="22"/>
          <w:szCs w:val="22"/>
        </w:rPr>
        <w:t>Y</w:t>
      </w:r>
      <w:r w:rsidRPr="003D6457">
        <w:rPr>
          <w:rFonts w:ascii="Arial" w:hAnsi="Arial" w:cs="Arial"/>
          <w:sz w:val="22"/>
          <w:szCs w:val="22"/>
        </w:rPr>
        <w:t xml:space="preserve">’s debt to the bookmaker on account </w:t>
      </w:r>
      <w:proofErr w:type="spellStart"/>
      <w:r w:rsidR="003D6D11">
        <w:rPr>
          <w:rFonts w:ascii="Arial" w:hAnsi="Arial" w:cs="Arial"/>
          <w:sz w:val="22"/>
          <w:szCs w:val="22"/>
        </w:rPr>
        <w:t>XXXXX</w:t>
      </w:r>
      <w:proofErr w:type="spellEnd"/>
      <w:r w:rsidRPr="003D6457">
        <w:rPr>
          <w:rFonts w:ascii="Arial" w:hAnsi="Arial" w:cs="Arial"/>
          <w:sz w:val="22"/>
          <w:szCs w:val="22"/>
        </w:rPr>
        <w:t xml:space="preserve"> were lawfully assigned by a Sale of Assets agreement made on the 17 September 2015 to William Hill Australia Wagering Pty Limited (the assignee).</w:t>
      </w:r>
    </w:p>
    <w:p w:rsidR="002C6BB7" w:rsidRPr="00CF19F8" w:rsidRDefault="00DB64C1" w:rsidP="00CF19F8">
      <w:pPr>
        <w:pStyle w:val="Heading2"/>
      </w:pPr>
      <w:r w:rsidRPr="00CF19F8">
        <w:t>Decision</w:t>
      </w:r>
    </w:p>
    <w:p w:rsidR="00AD6D0D" w:rsidRPr="003D6457" w:rsidRDefault="00AD6D0D" w:rsidP="003D6457">
      <w:pPr>
        <w:pStyle w:val="ListParagraph"/>
        <w:numPr>
          <w:ilvl w:val="0"/>
          <w:numId w:val="16"/>
        </w:numPr>
        <w:ind w:left="567" w:hanging="425"/>
        <w:jc w:val="both"/>
        <w:rPr>
          <w:rFonts w:ascii="Arial" w:hAnsi="Arial" w:cs="Arial"/>
          <w:sz w:val="22"/>
          <w:szCs w:val="22"/>
        </w:rPr>
      </w:pPr>
      <w:r w:rsidRPr="003D6457">
        <w:rPr>
          <w:rFonts w:ascii="Arial" w:hAnsi="Arial" w:cs="Arial"/>
          <w:sz w:val="22"/>
          <w:szCs w:val="22"/>
        </w:rPr>
        <w:t xml:space="preserve">Having fully considered all matters put before it, this Racing Commission determines that all bets placed as recorded by the Bookmaker with Mr </w:t>
      </w:r>
      <w:r w:rsidR="00FA4AB7">
        <w:rPr>
          <w:rFonts w:ascii="Arial" w:hAnsi="Arial" w:cs="Arial"/>
          <w:sz w:val="22"/>
          <w:szCs w:val="22"/>
        </w:rPr>
        <w:t>Y</w:t>
      </w:r>
      <w:r w:rsidRPr="003D6457">
        <w:rPr>
          <w:rFonts w:ascii="Arial" w:hAnsi="Arial" w:cs="Arial"/>
          <w:sz w:val="22"/>
          <w:szCs w:val="22"/>
        </w:rPr>
        <w:t xml:space="preserve"> on account number </w:t>
      </w:r>
      <w:proofErr w:type="spellStart"/>
      <w:r w:rsidR="003D6D11">
        <w:rPr>
          <w:rFonts w:ascii="Arial" w:hAnsi="Arial" w:cs="Arial"/>
          <w:sz w:val="22"/>
          <w:szCs w:val="22"/>
        </w:rPr>
        <w:t>XXXXX</w:t>
      </w:r>
      <w:proofErr w:type="spellEnd"/>
      <w:r w:rsidRPr="003D6457">
        <w:rPr>
          <w:rFonts w:ascii="Arial" w:hAnsi="Arial" w:cs="Arial"/>
          <w:sz w:val="22"/>
          <w:szCs w:val="22"/>
        </w:rPr>
        <w:t xml:space="preserve"> were bets placed that were lawful pursuant to Section 85(1A) of the Racing and Betting Act.</w:t>
      </w:r>
    </w:p>
    <w:p w:rsidR="002C6BB7" w:rsidRPr="003D6457" w:rsidRDefault="00AD6D0D" w:rsidP="00520348">
      <w:pPr>
        <w:spacing w:before="1200" w:line="240" w:lineRule="atLeast"/>
        <w:ind w:left="426" w:hanging="426"/>
        <w:jc w:val="both"/>
        <w:rPr>
          <w:rFonts w:ascii="Arial" w:hAnsi="Arial" w:cs="Arial"/>
          <w:sz w:val="22"/>
          <w:szCs w:val="22"/>
        </w:rPr>
      </w:pPr>
      <w:bookmarkStart w:id="4" w:name="_GoBack"/>
      <w:bookmarkEnd w:id="4"/>
      <w:r w:rsidRPr="003D6457">
        <w:rPr>
          <w:rFonts w:ascii="Arial" w:hAnsi="Arial" w:cs="Arial"/>
          <w:sz w:val="22"/>
          <w:szCs w:val="22"/>
        </w:rPr>
        <w:t>John McBride</w:t>
      </w:r>
    </w:p>
    <w:p w:rsidR="002C6BB7" w:rsidRPr="003D6457" w:rsidRDefault="00AD6D0D" w:rsidP="003B38E2">
      <w:pPr>
        <w:spacing w:after="240" w:line="240" w:lineRule="atLeast"/>
        <w:ind w:left="426" w:hanging="426"/>
        <w:jc w:val="both"/>
        <w:rPr>
          <w:rFonts w:ascii="Arial" w:hAnsi="Arial" w:cs="Arial"/>
          <w:sz w:val="22"/>
          <w:szCs w:val="22"/>
        </w:rPr>
      </w:pPr>
      <w:r w:rsidRPr="003D6457">
        <w:rPr>
          <w:rFonts w:ascii="Arial" w:hAnsi="Arial" w:cs="Arial"/>
          <w:sz w:val="22"/>
          <w:szCs w:val="22"/>
        </w:rPr>
        <w:t>Chairperson</w:t>
      </w:r>
    </w:p>
    <w:p w:rsidR="008707D3" w:rsidRPr="003D6457" w:rsidRDefault="00D03B45" w:rsidP="003B38E2">
      <w:pPr>
        <w:spacing w:after="240" w:line="240" w:lineRule="atLeast"/>
        <w:ind w:left="426" w:hanging="426"/>
        <w:jc w:val="both"/>
        <w:rPr>
          <w:rFonts w:ascii="Arial" w:hAnsi="Arial" w:cs="Arial"/>
          <w:sz w:val="22"/>
          <w:szCs w:val="22"/>
        </w:rPr>
      </w:pPr>
      <w:r>
        <w:rPr>
          <w:rFonts w:ascii="Arial" w:hAnsi="Arial" w:cs="Arial"/>
          <w:sz w:val="22"/>
          <w:szCs w:val="22"/>
        </w:rPr>
        <w:t xml:space="preserve">12 </w:t>
      </w:r>
      <w:r w:rsidR="00AD6D0D" w:rsidRPr="003D6457">
        <w:rPr>
          <w:rFonts w:ascii="Arial" w:hAnsi="Arial" w:cs="Arial"/>
          <w:sz w:val="22"/>
          <w:szCs w:val="22"/>
        </w:rPr>
        <w:t>October 2016</w:t>
      </w:r>
    </w:p>
    <w:sectPr w:rsidR="008707D3" w:rsidRPr="003D6457" w:rsidSect="00614B00">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07" w:rsidRDefault="006D4C07">
      <w:r>
        <w:separator/>
      </w:r>
    </w:p>
  </w:endnote>
  <w:endnote w:type="continuationSeparator" w:id="0">
    <w:p w:rsidR="006D4C07" w:rsidRDefault="006D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0" w:rsidRDefault="00614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0" w:rsidRDefault="00614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0" w:rsidRDefault="00614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07" w:rsidRDefault="006D4C07">
      <w:r>
        <w:separator/>
      </w:r>
    </w:p>
  </w:footnote>
  <w:footnote w:type="continuationSeparator" w:id="0">
    <w:p w:rsidR="006D4C07" w:rsidRDefault="006D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32062"/>
      <w:docPartObj>
        <w:docPartGallery w:val="Page Numbers (Top of Page)"/>
        <w:docPartUnique/>
      </w:docPartObj>
    </w:sdtPr>
    <w:sdtEndPr>
      <w:rPr>
        <w:noProof/>
      </w:rPr>
    </w:sdtEndPr>
    <w:sdtContent>
      <w:p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520348">
          <w:rPr>
            <w:rFonts w:ascii="Arial" w:hAnsi="Arial" w:cs="Arial"/>
            <w:noProof/>
          </w:rPr>
          <w:t>4</w:t>
        </w:r>
        <w:r w:rsidRPr="00614B00">
          <w:rPr>
            <w:rFonts w:ascii="Arial" w:hAnsi="Arial" w:cs="Arial"/>
            <w:noProof/>
          </w:rPr>
          <w:fldChar w:fldCharType="end"/>
        </w:r>
      </w:p>
    </w:sdtContent>
  </w:sdt>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8891DFE"/>
    <w:multiLevelType w:val="multilevel"/>
    <w:tmpl w:val="110086FC"/>
    <w:lvl w:ilvl="0">
      <w:start w:val="1"/>
      <w:numFmt w:val="lowerLetter"/>
      <w:lvlText w:val="(%1)"/>
      <w:lvlJc w:val="left"/>
      <w:rPr>
        <w:rFonts w:ascii="Arial" w:eastAsia="Arial Unicode MS" w:hAnsi="Arial" w:cs="Arial"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6796332"/>
    <w:multiLevelType w:val="hybridMultilevel"/>
    <w:tmpl w:val="A1B07F9C"/>
    <w:lvl w:ilvl="0" w:tplc="0C090001">
      <w:start w:val="1"/>
      <w:numFmt w:val="bullet"/>
      <w:lvlText w:val=""/>
      <w:lvlJc w:val="left"/>
      <w:pPr>
        <w:ind w:left="720" w:hanging="360"/>
      </w:pPr>
      <w:rPr>
        <w:rFonts w:ascii="Symbol" w:hAnsi="Symbol"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3">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98623DB"/>
    <w:multiLevelType w:val="multilevel"/>
    <w:tmpl w:val="6F30FC5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9D262B9"/>
    <w:multiLevelType w:val="multilevel"/>
    <w:tmpl w:val="72743AFC"/>
    <w:lvl w:ilvl="0">
      <w:start w:val="1"/>
      <w:numFmt w:val="decimal"/>
      <w:lvlText w:val="(%1)"/>
      <w:lvlJc w:val="left"/>
      <w:rPr>
        <w:rFonts w:ascii="Arial" w:eastAsia="Arial Unicode MS" w:hAnsi="Arial" w:cs="Arial"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8">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8"/>
  </w:num>
  <w:num w:numId="5">
    <w:abstractNumId w:val="21"/>
  </w:num>
  <w:num w:numId="6">
    <w:abstractNumId w:val="25"/>
  </w:num>
  <w:num w:numId="7">
    <w:abstractNumId w:val="18"/>
  </w:num>
  <w:num w:numId="8">
    <w:abstractNumId w:val="0"/>
  </w:num>
  <w:num w:numId="9">
    <w:abstractNumId w:val="27"/>
  </w:num>
  <w:num w:numId="10">
    <w:abstractNumId w:val="17"/>
  </w:num>
  <w:num w:numId="11">
    <w:abstractNumId w:val="2"/>
  </w:num>
  <w:num w:numId="12">
    <w:abstractNumId w:val="4"/>
  </w:num>
  <w:num w:numId="13">
    <w:abstractNumId w:val="16"/>
  </w:num>
  <w:num w:numId="14">
    <w:abstractNumId w:val="19"/>
  </w:num>
  <w:num w:numId="15">
    <w:abstractNumId w:val="1"/>
  </w:num>
  <w:num w:numId="16">
    <w:abstractNumId w:val="13"/>
  </w:num>
  <w:num w:numId="17">
    <w:abstractNumId w:val="5"/>
  </w:num>
  <w:num w:numId="18">
    <w:abstractNumId w:val="6"/>
  </w:num>
  <w:num w:numId="19">
    <w:abstractNumId w:val="20"/>
  </w:num>
  <w:num w:numId="20">
    <w:abstractNumId w:val="23"/>
  </w:num>
  <w:num w:numId="21">
    <w:abstractNumId w:val="10"/>
  </w:num>
  <w:num w:numId="22">
    <w:abstractNumId w:val="29"/>
  </w:num>
  <w:num w:numId="23">
    <w:abstractNumId w:val="28"/>
  </w:num>
  <w:num w:numId="24">
    <w:abstractNumId w:val="26"/>
  </w:num>
  <w:num w:numId="25">
    <w:abstractNumId w:val="15"/>
  </w:num>
  <w:num w:numId="26">
    <w:abstractNumId w:val="11"/>
  </w:num>
  <w:num w:numId="27">
    <w:abstractNumId w:val="22"/>
  </w:num>
  <w:num w:numId="28">
    <w:abstractNumId w:val="24"/>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5E"/>
    <w:rsid w:val="00000D37"/>
    <w:rsid w:val="000020F8"/>
    <w:rsid w:val="000048F3"/>
    <w:rsid w:val="00035446"/>
    <w:rsid w:val="00060698"/>
    <w:rsid w:val="0006656F"/>
    <w:rsid w:val="000808B9"/>
    <w:rsid w:val="00082CE5"/>
    <w:rsid w:val="000865C5"/>
    <w:rsid w:val="00091732"/>
    <w:rsid w:val="000A71E5"/>
    <w:rsid w:val="000C42DF"/>
    <w:rsid w:val="000D61DA"/>
    <w:rsid w:val="000E1540"/>
    <w:rsid w:val="000E2F64"/>
    <w:rsid w:val="00102517"/>
    <w:rsid w:val="00126EF4"/>
    <w:rsid w:val="0012714B"/>
    <w:rsid w:val="001304C4"/>
    <w:rsid w:val="00140933"/>
    <w:rsid w:val="001444A8"/>
    <w:rsid w:val="00180CE5"/>
    <w:rsid w:val="00184F2E"/>
    <w:rsid w:val="00192903"/>
    <w:rsid w:val="001A15A0"/>
    <w:rsid w:val="001C03C0"/>
    <w:rsid w:val="001D6307"/>
    <w:rsid w:val="001D6966"/>
    <w:rsid w:val="001F335D"/>
    <w:rsid w:val="00204481"/>
    <w:rsid w:val="00206E6E"/>
    <w:rsid w:val="002339C1"/>
    <w:rsid w:val="00262155"/>
    <w:rsid w:val="00277AE9"/>
    <w:rsid w:val="002A25AA"/>
    <w:rsid w:val="002B6BBF"/>
    <w:rsid w:val="002C0774"/>
    <w:rsid w:val="002C46C5"/>
    <w:rsid w:val="002C6BB7"/>
    <w:rsid w:val="002E6113"/>
    <w:rsid w:val="002F03D5"/>
    <w:rsid w:val="002F0E22"/>
    <w:rsid w:val="002F720B"/>
    <w:rsid w:val="00311798"/>
    <w:rsid w:val="00320DA3"/>
    <w:rsid w:val="00334303"/>
    <w:rsid w:val="00340E1B"/>
    <w:rsid w:val="00341AC5"/>
    <w:rsid w:val="003502BB"/>
    <w:rsid w:val="00352D6D"/>
    <w:rsid w:val="00357B7A"/>
    <w:rsid w:val="0039087B"/>
    <w:rsid w:val="0039542A"/>
    <w:rsid w:val="003A37FE"/>
    <w:rsid w:val="003A3E83"/>
    <w:rsid w:val="003B38E2"/>
    <w:rsid w:val="003B3C8B"/>
    <w:rsid w:val="003C2416"/>
    <w:rsid w:val="003C4E27"/>
    <w:rsid w:val="003D6457"/>
    <w:rsid w:val="003D6D11"/>
    <w:rsid w:val="003E507B"/>
    <w:rsid w:val="003F0044"/>
    <w:rsid w:val="003F35EB"/>
    <w:rsid w:val="003F7E8F"/>
    <w:rsid w:val="00403E6D"/>
    <w:rsid w:val="004124E8"/>
    <w:rsid w:val="00423AFA"/>
    <w:rsid w:val="0042631D"/>
    <w:rsid w:val="00454068"/>
    <w:rsid w:val="004717FF"/>
    <w:rsid w:val="00480975"/>
    <w:rsid w:val="004B422E"/>
    <w:rsid w:val="004D373A"/>
    <w:rsid w:val="004F33F5"/>
    <w:rsid w:val="00511172"/>
    <w:rsid w:val="00517D0F"/>
    <w:rsid w:val="00520348"/>
    <w:rsid w:val="005223B7"/>
    <w:rsid w:val="00532A8E"/>
    <w:rsid w:val="00550AC8"/>
    <w:rsid w:val="005A5E6A"/>
    <w:rsid w:val="005C38DC"/>
    <w:rsid w:val="005C403D"/>
    <w:rsid w:val="005D116B"/>
    <w:rsid w:val="005F1D75"/>
    <w:rsid w:val="005F725E"/>
    <w:rsid w:val="00612471"/>
    <w:rsid w:val="00614B00"/>
    <w:rsid w:val="00615992"/>
    <w:rsid w:val="00624E09"/>
    <w:rsid w:val="0063050D"/>
    <w:rsid w:val="00634062"/>
    <w:rsid w:val="00647A35"/>
    <w:rsid w:val="00682899"/>
    <w:rsid w:val="00682C3C"/>
    <w:rsid w:val="006A7AED"/>
    <w:rsid w:val="006D06D6"/>
    <w:rsid w:val="006D4C07"/>
    <w:rsid w:val="007010AC"/>
    <w:rsid w:val="007046C6"/>
    <w:rsid w:val="00712274"/>
    <w:rsid w:val="00712415"/>
    <w:rsid w:val="00720AD8"/>
    <w:rsid w:val="00735AB3"/>
    <w:rsid w:val="00741C28"/>
    <w:rsid w:val="00742D00"/>
    <w:rsid w:val="007635FA"/>
    <w:rsid w:val="00763830"/>
    <w:rsid w:val="00792389"/>
    <w:rsid w:val="007B0F27"/>
    <w:rsid w:val="007D15A0"/>
    <w:rsid w:val="007E7020"/>
    <w:rsid w:val="008132FB"/>
    <w:rsid w:val="00817FA8"/>
    <w:rsid w:val="00821B56"/>
    <w:rsid w:val="00824D04"/>
    <w:rsid w:val="00851D26"/>
    <w:rsid w:val="00861250"/>
    <w:rsid w:val="008707D3"/>
    <w:rsid w:val="008968EA"/>
    <w:rsid w:val="008D5E6F"/>
    <w:rsid w:val="008D711D"/>
    <w:rsid w:val="008E1DAA"/>
    <w:rsid w:val="008E4D7C"/>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31D8F"/>
    <w:rsid w:val="00A467CA"/>
    <w:rsid w:val="00A520B3"/>
    <w:rsid w:val="00A85362"/>
    <w:rsid w:val="00A94982"/>
    <w:rsid w:val="00AA05C2"/>
    <w:rsid w:val="00AA1AD2"/>
    <w:rsid w:val="00AA6318"/>
    <w:rsid w:val="00AB4D34"/>
    <w:rsid w:val="00AD0566"/>
    <w:rsid w:val="00AD6D0D"/>
    <w:rsid w:val="00AD7B16"/>
    <w:rsid w:val="00AE3ED6"/>
    <w:rsid w:val="00AF4879"/>
    <w:rsid w:val="00B00073"/>
    <w:rsid w:val="00B04326"/>
    <w:rsid w:val="00B05B92"/>
    <w:rsid w:val="00B50B06"/>
    <w:rsid w:val="00B60D8B"/>
    <w:rsid w:val="00B760BD"/>
    <w:rsid w:val="00B92758"/>
    <w:rsid w:val="00BC79A2"/>
    <w:rsid w:val="00BD3B4B"/>
    <w:rsid w:val="00BD67DF"/>
    <w:rsid w:val="00BE3A88"/>
    <w:rsid w:val="00C02779"/>
    <w:rsid w:val="00C32F2B"/>
    <w:rsid w:val="00C5025D"/>
    <w:rsid w:val="00C5070C"/>
    <w:rsid w:val="00C56A80"/>
    <w:rsid w:val="00C71EB7"/>
    <w:rsid w:val="00C735CA"/>
    <w:rsid w:val="00C817B3"/>
    <w:rsid w:val="00C921AB"/>
    <w:rsid w:val="00CA530C"/>
    <w:rsid w:val="00CA53CE"/>
    <w:rsid w:val="00CB49CF"/>
    <w:rsid w:val="00CC1E53"/>
    <w:rsid w:val="00CE6D02"/>
    <w:rsid w:val="00CF19F8"/>
    <w:rsid w:val="00CF2AE7"/>
    <w:rsid w:val="00CF3964"/>
    <w:rsid w:val="00D03B45"/>
    <w:rsid w:val="00D07B98"/>
    <w:rsid w:val="00D1617A"/>
    <w:rsid w:val="00D54C0A"/>
    <w:rsid w:val="00D76980"/>
    <w:rsid w:val="00DA37E9"/>
    <w:rsid w:val="00DB64C1"/>
    <w:rsid w:val="00DB77E4"/>
    <w:rsid w:val="00DC6365"/>
    <w:rsid w:val="00DE0C6D"/>
    <w:rsid w:val="00E0130B"/>
    <w:rsid w:val="00E023C4"/>
    <w:rsid w:val="00E05D93"/>
    <w:rsid w:val="00E30D0A"/>
    <w:rsid w:val="00E64F46"/>
    <w:rsid w:val="00E735FB"/>
    <w:rsid w:val="00E95BC9"/>
    <w:rsid w:val="00EA2275"/>
    <w:rsid w:val="00EA65EF"/>
    <w:rsid w:val="00EB0E4C"/>
    <w:rsid w:val="00EF3278"/>
    <w:rsid w:val="00EF7574"/>
    <w:rsid w:val="00F0254E"/>
    <w:rsid w:val="00F06E17"/>
    <w:rsid w:val="00F11069"/>
    <w:rsid w:val="00F113E3"/>
    <w:rsid w:val="00F27918"/>
    <w:rsid w:val="00F74D1D"/>
    <w:rsid w:val="00F914E2"/>
    <w:rsid w:val="00F94C5D"/>
    <w:rsid w:val="00FA095C"/>
    <w:rsid w:val="00FA3B90"/>
    <w:rsid w:val="00FA4AB7"/>
    <w:rsid w:val="00FB7BF2"/>
    <w:rsid w:val="00FC22BE"/>
    <w:rsid w:val="00FC33D6"/>
    <w:rsid w:val="00FD1314"/>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F19F8"/>
    <w:pPr>
      <w:keepNext/>
      <w:pBdr>
        <w:bottom w:val="single" w:sz="12" w:space="6" w:color="auto"/>
      </w:pBdr>
      <w:spacing w:after="120"/>
      <w:jc w:val="center"/>
      <w:outlineLvl w:val="0"/>
    </w:pPr>
    <w:rPr>
      <w:rFonts w:ascii="Arial" w:hAnsi="Arial"/>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Heading20"/>
    <w:next w:val="Normal"/>
    <w:link w:val="Heading3Char"/>
    <w:unhideWhenUsed/>
    <w:qFormat/>
    <w:rsid w:val="00CF19F8"/>
    <w:pPr>
      <w:keepNext/>
      <w:keepLines/>
      <w:shd w:val="clear" w:color="auto" w:fill="auto"/>
      <w:spacing w:before="0" w:after="278"/>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F19F8"/>
    <w:rPr>
      <w:rFonts w:ascii="Arial" w:eastAsia="Arial" w:hAnsi="Arial" w:cs="Arial"/>
      <w:b/>
      <w:bCs/>
      <w:sz w:val="24"/>
      <w:szCs w:val="24"/>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character" w:customStyle="1" w:styleId="Bodytext2">
    <w:name w:val="Body text (2)_"/>
    <w:basedOn w:val="DefaultParagraphFont"/>
    <w:link w:val="Bodytext20"/>
    <w:rsid w:val="00AD6D0D"/>
    <w:rPr>
      <w:rFonts w:ascii="Arial Unicode MS" w:eastAsia="Arial Unicode MS" w:hAnsi="Arial Unicode MS" w:cs="Arial Unicode MS"/>
      <w:shd w:val="clear" w:color="auto" w:fill="FFFFFF"/>
    </w:rPr>
  </w:style>
  <w:style w:type="character" w:customStyle="1" w:styleId="Bodytext2Arial">
    <w:name w:val="Body text (2) + Arial"/>
    <w:aliases w:val="Italic,Spacing 2 pt"/>
    <w:basedOn w:val="Bodytext2"/>
    <w:rsid w:val="00AD6D0D"/>
    <w:rPr>
      <w:rFonts w:ascii="Arial" w:eastAsia="Arial" w:hAnsi="Arial" w:cs="Arial"/>
      <w:i/>
      <w:iCs/>
      <w:color w:val="000000"/>
      <w:spacing w:val="0"/>
      <w:w w:val="100"/>
      <w:position w:val="0"/>
      <w:sz w:val="24"/>
      <w:szCs w:val="24"/>
      <w:shd w:val="clear" w:color="auto" w:fill="FFFFFF"/>
      <w:lang w:val="en-US" w:eastAsia="en-US" w:bidi="en-US"/>
    </w:rPr>
  </w:style>
  <w:style w:type="character" w:customStyle="1" w:styleId="Heading21">
    <w:name w:val="Heading #2_"/>
    <w:basedOn w:val="DefaultParagraphFont"/>
    <w:link w:val="Heading20"/>
    <w:rsid w:val="00AD6D0D"/>
    <w:rPr>
      <w:rFonts w:ascii="Arial" w:eastAsia="Arial" w:hAnsi="Arial" w:cs="Arial"/>
      <w:b/>
      <w:bCs/>
      <w:shd w:val="clear" w:color="auto" w:fill="FFFFFF"/>
    </w:rPr>
  </w:style>
  <w:style w:type="character" w:customStyle="1" w:styleId="Bodytext3">
    <w:name w:val="Body text (3)_"/>
    <w:basedOn w:val="DefaultParagraphFont"/>
    <w:link w:val="Bodytext30"/>
    <w:rsid w:val="00AD6D0D"/>
    <w:rPr>
      <w:rFonts w:ascii="Arial" w:eastAsia="Arial" w:hAnsi="Arial" w:cs="Arial"/>
      <w:i/>
      <w:iCs/>
      <w:shd w:val="clear" w:color="auto" w:fill="FFFFFF"/>
    </w:rPr>
  </w:style>
  <w:style w:type="character" w:customStyle="1" w:styleId="Bodytext3ArialUnicodeMS">
    <w:name w:val="Body text (3) + Arial Unicode MS"/>
    <w:aliases w:val="Not Italic"/>
    <w:basedOn w:val="Bodytext3"/>
    <w:rsid w:val="00AD6D0D"/>
    <w:rPr>
      <w:rFonts w:ascii="Arial Unicode MS" w:eastAsia="Arial Unicode MS" w:hAnsi="Arial Unicode MS" w:cs="Arial Unicode MS"/>
      <w:i/>
      <w:iCs/>
      <w:color w:val="000000"/>
      <w:spacing w:val="0"/>
      <w:w w:val="100"/>
      <w:position w:val="0"/>
      <w:sz w:val="24"/>
      <w:szCs w:val="24"/>
      <w:shd w:val="clear" w:color="auto" w:fill="FFFFFF"/>
      <w:lang w:val="en-US" w:eastAsia="en-US" w:bidi="en-US"/>
    </w:rPr>
  </w:style>
  <w:style w:type="character" w:customStyle="1" w:styleId="Bodytext4">
    <w:name w:val="Body text (4)_"/>
    <w:basedOn w:val="DefaultParagraphFont"/>
    <w:link w:val="Bodytext40"/>
    <w:rsid w:val="00AD6D0D"/>
    <w:rPr>
      <w:rFonts w:ascii="Arial" w:eastAsia="Arial" w:hAnsi="Arial" w:cs="Arial"/>
      <w:b/>
      <w:bCs/>
      <w:shd w:val="clear" w:color="auto" w:fill="FFFFFF"/>
    </w:rPr>
  </w:style>
  <w:style w:type="character" w:customStyle="1" w:styleId="Bodytext5">
    <w:name w:val="Body text (5)_"/>
    <w:basedOn w:val="DefaultParagraphFont"/>
    <w:link w:val="Bodytext50"/>
    <w:rsid w:val="00AD6D0D"/>
    <w:rPr>
      <w:rFonts w:ascii="Arial" w:eastAsia="Arial" w:hAnsi="Arial" w:cs="Arial"/>
      <w:b/>
      <w:bCs/>
      <w:sz w:val="19"/>
      <w:szCs w:val="19"/>
      <w:shd w:val="clear" w:color="auto" w:fill="FFFFFF"/>
    </w:rPr>
  </w:style>
  <w:style w:type="character" w:customStyle="1" w:styleId="Bodytext6">
    <w:name w:val="Body text (6)_"/>
    <w:basedOn w:val="DefaultParagraphFont"/>
    <w:link w:val="Bodytext60"/>
    <w:rsid w:val="00AD6D0D"/>
    <w:rPr>
      <w:rFonts w:ascii="Arial Unicode MS" w:eastAsia="Arial Unicode MS" w:hAnsi="Arial Unicode MS" w:cs="Arial Unicode MS"/>
      <w:shd w:val="clear" w:color="auto" w:fill="FFFFFF"/>
    </w:rPr>
  </w:style>
  <w:style w:type="paragraph" w:customStyle="1" w:styleId="Bodytext20">
    <w:name w:val="Body text (2)"/>
    <w:basedOn w:val="Normal"/>
    <w:link w:val="Bodytext2"/>
    <w:rsid w:val="00AD6D0D"/>
    <w:pPr>
      <w:widowControl w:val="0"/>
      <w:shd w:val="clear" w:color="auto" w:fill="FFFFFF"/>
      <w:spacing w:before="300" w:after="300" w:line="269" w:lineRule="exact"/>
      <w:ind w:hanging="740"/>
      <w:jc w:val="both"/>
    </w:pPr>
    <w:rPr>
      <w:rFonts w:ascii="Arial Unicode MS" w:eastAsia="Arial Unicode MS" w:hAnsi="Arial Unicode MS" w:cs="Arial Unicode MS"/>
      <w:sz w:val="20"/>
      <w:szCs w:val="20"/>
    </w:rPr>
  </w:style>
  <w:style w:type="paragraph" w:customStyle="1" w:styleId="Heading20">
    <w:name w:val="Heading #2"/>
    <w:basedOn w:val="Normal"/>
    <w:link w:val="Heading21"/>
    <w:rsid w:val="00AD6D0D"/>
    <w:pPr>
      <w:widowControl w:val="0"/>
      <w:shd w:val="clear" w:color="auto" w:fill="FFFFFF"/>
      <w:spacing w:before="300" w:after="300" w:line="246" w:lineRule="exact"/>
      <w:jc w:val="both"/>
      <w:outlineLvl w:val="1"/>
    </w:pPr>
    <w:rPr>
      <w:rFonts w:ascii="Arial" w:eastAsia="Arial" w:hAnsi="Arial" w:cs="Arial"/>
      <w:b/>
      <w:bCs/>
      <w:sz w:val="20"/>
      <w:szCs w:val="20"/>
    </w:rPr>
  </w:style>
  <w:style w:type="paragraph" w:customStyle="1" w:styleId="Bodytext30">
    <w:name w:val="Body text (3)"/>
    <w:basedOn w:val="Normal"/>
    <w:link w:val="Bodytext3"/>
    <w:rsid w:val="00AD6D0D"/>
    <w:pPr>
      <w:widowControl w:val="0"/>
      <w:shd w:val="clear" w:color="auto" w:fill="FFFFFF"/>
      <w:spacing w:before="220" w:after="220" w:line="278" w:lineRule="exact"/>
      <w:jc w:val="both"/>
    </w:pPr>
    <w:rPr>
      <w:rFonts w:ascii="Arial" w:eastAsia="Arial" w:hAnsi="Arial" w:cs="Arial"/>
      <w:i/>
      <w:iCs/>
      <w:sz w:val="20"/>
      <w:szCs w:val="20"/>
    </w:rPr>
  </w:style>
  <w:style w:type="paragraph" w:customStyle="1" w:styleId="Bodytext40">
    <w:name w:val="Body text (4)"/>
    <w:basedOn w:val="Normal"/>
    <w:link w:val="Bodytext4"/>
    <w:rsid w:val="00AD6D0D"/>
    <w:pPr>
      <w:widowControl w:val="0"/>
      <w:shd w:val="clear" w:color="auto" w:fill="FFFFFF"/>
      <w:spacing w:before="220" w:after="220" w:line="246" w:lineRule="exact"/>
      <w:jc w:val="both"/>
    </w:pPr>
    <w:rPr>
      <w:rFonts w:ascii="Arial" w:eastAsia="Arial" w:hAnsi="Arial" w:cs="Arial"/>
      <w:b/>
      <w:bCs/>
      <w:sz w:val="20"/>
      <w:szCs w:val="20"/>
    </w:rPr>
  </w:style>
  <w:style w:type="paragraph" w:customStyle="1" w:styleId="Bodytext50">
    <w:name w:val="Body text (5)"/>
    <w:basedOn w:val="Normal"/>
    <w:link w:val="Bodytext5"/>
    <w:rsid w:val="00AD6D0D"/>
    <w:pPr>
      <w:widowControl w:val="0"/>
      <w:shd w:val="clear" w:color="auto" w:fill="FFFFFF"/>
      <w:spacing w:before="220" w:after="220" w:line="212" w:lineRule="exact"/>
    </w:pPr>
    <w:rPr>
      <w:rFonts w:ascii="Arial" w:eastAsia="Arial" w:hAnsi="Arial" w:cs="Arial"/>
      <w:b/>
      <w:bCs/>
      <w:sz w:val="19"/>
      <w:szCs w:val="19"/>
    </w:rPr>
  </w:style>
  <w:style w:type="paragraph" w:customStyle="1" w:styleId="Bodytext60">
    <w:name w:val="Body text (6)"/>
    <w:basedOn w:val="Normal"/>
    <w:link w:val="Bodytext6"/>
    <w:rsid w:val="00AD6D0D"/>
    <w:pPr>
      <w:widowControl w:val="0"/>
      <w:shd w:val="clear" w:color="auto" w:fill="FFFFFF"/>
      <w:spacing w:before="220" w:after="220" w:line="245" w:lineRule="exact"/>
      <w:jc w:val="both"/>
    </w:pPr>
    <w:rPr>
      <w:rFonts w:ascii="Arial Unicode MS" w:eastAsia="Arial Unicode MS" w:hAnsi="Arial Unicode MS" w:cs="Arial Unicode MS"/>
      <w:sz w:val="20"/>
      <w:szCs w:val="20"/>
    </w:rPr>
  </w:style>
  <w:style w:type="character" w:customStyle="1" w:styleId="Heading1Char">
    <w:name w:val="Heading 1 Char"/>
    <w:basedOn w:val="DefaultParagraphFont"/>
    <w:link w:val="Heading1"/>
    <w:rsid w:val="00CF19F8"/>
    <w:rPr>
      <w:rFonts w:ascii="Arial" w:hAnsi="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F19F8"/>
    <w:pPr>
      <w:keepNext/>
      <w:pBdr>
        <w:bottom w:val="single" w:sz="12" w:space="6" w:color="auto"/>
      </w:pBdr>
      <w:spacing w:after="120"/>
      <w:jc w:val="center"/>
      <w:outlineLvl w:val="0"/>
    </w:pPr>
    <w:rPr>
      <w:rFonts w:ascii="Arial" w:hAnsi="Arial"/>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Heading20"/>
    <w:next w:val="Normal"/>
    <w:link w:val="Heading3Char"/>
    <w:unhideWhenUsed/>
    <w:qFormat/>
    <w:rsid w:val="00CF19F8"/>
    <w:pPr>
      <w:keepNext/>
      <w:keepLines/>
      <w:shd w:val="clear" w:color="auto" w:fill="auto"/>
      <w:spacing w:before="0" w:after="278"/>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F19F8"/>
    <w:rPr>
      <w:rFonts w:ascii="Arial" w:eastAsia="Arial" w:hAnsi="Arial" w:cs="Arial"/>
      <w:b/>
      <w:bCs/>
      <w:sz w:val="24"/>
      <w:szCs w:val="24"/>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character" w:customStyle="1" w:styleId="Bodytext2">
    <w:name w:val="Body text (2)_"/>
    <w:basedOn w:val="DefaultParagraphFont"/>
    <w:link w:val="Bodytext20"/>
    <w:rsid w:val="00AD6D0D"/>
    <w:rPr>
      <w:rFonts w:ascii="Arial Unicode MS" w:eastAsia="Arial Unicode MS" w:hAnsi="Arial Unicode MS" w:cs="Arial Unicode MS"/>
      <w:shd w:val="clear" w:color="auto" w:fill="FFFFFF"/>
    </w:rPr>
  </w:style>
  <w:style w:type="character" w:customStyle="1" w:styleId="Bodytext2Arial">
    <w:name w:val="Body text (2) + Arial"/>
    <w:aliases w:val="Italic,Spacing 2 pt"/>
    <w:basedOn w:val="Bodytext2"/>
    <w:rsid w:val="00AD6D0D"/>
    <w:rPr>
      <w:rFonts w:ascii="Arial" w:eastAsia="Arial" w:hAnsi="Arial" w:cs="Arial"/>
      <w:i/>
      <w:iCs/>
      <w:color w:val="000000"/>
      <w:spacing w:val="0"/>
      <w:w w:val="100"/>
      <w:position w:val="0"/>
      <w:sz w:val="24"/>
      <w:szCs w:val="24"/>
      <w:shd w:val="clear" w:color="auto" w:fill="FFFFFF"/>
      <w:lang w:val="en-US" w:eastAsia="en-US" w:bidi="en-US"/>
    </w:rPr>
  </w:style>
  <w:style w:type="character" w:customStyle="1" w:styleId="Heading21">
    <w:name w:val="Heading #2_"/>
    <w:basedOn w:val="DefaultParagraphFont"/>
    <w:link w:val="Heading20"/>
    <w:rsid w:val="00AD6D0D"/>
    <w:rPr>
      <w:rFonts w:ascii="Arial" w:eastAsia="Arial" w:hAnsi="Arial" w:cs="Arial"/>
      <w:b/>
      <w:bCs/>
      <w:shd w:val="clear" w:color="auto" w:fill="FFFFFF"/>
    </w:rPr>
  </w:style>
  <w:style w:type="character" w:customStyle="1" w:styleId="Bodytext3">
    <w:name w:val="Body text (3)_"/>
    <w:basedOn w:val="DefaultParagraphFont"/>
    <w:link w:val="Bodytext30"/>
    <w:rsid w:val="00AD6D0D"/>
    <w:rPr>
      <w:rFonts w:ascii="Arial" w:eastAsia="Arial" w:hAnsi="Arial" w:cs="Arial"/>
      <w:i/>
      <w:iCs/>
      <w:shd w:val="clear" w:color="auto" w:fill="FFFFFF"/>
    </w:rPr>
  </w:style>
  <w:style w:type="character" w:customStyle="1" w:styleId="Bodytext3ArialUnicodeMS">
    <w:name w:val="Body text (3) + Arial Unicode MS"/>
    <w:aliases w:val="Not Italic"/>
    <w:basedOn w:val="Bodytext3"/>
    <w:rsid w:val="00AD6D0D"/>
    <w:rPr>
      <w:rFonts w:ascii="Arial Unicode MS" w:eastAsia="Arial Unicode MS" w:hAnsi="Arial Unicode MS" w:cs="Arial Unicode MS"/>
      <w:i/>
      <w:iCs/>
      <w:color w:val="000000"/>
      <w:spacing w:val="0"/>
      <w:w w:val="100"/>
      <w:position w:val="0"/>
      <w:sz w:val="24"/>
      <w:szCs w:val="24"/>
      <w:shd w:val="clear" w:color="auto" w:fill="FFFFFF"/>
      <w:lang w:val="en-US" w:eastAsia="en-US" w:bidi="en-US"/>
    </w:rPr>
  </w:style>
  <w:style w:type="character" w:customStyle="1" w:styleId="Bodytext4">
    <w:name w:val="Body text (4)_"/>
    <w:basedOn w:val="DefaultParagraphFont"/>
    <w:link w:val="Bodytext40"/>
    <w:rsid w:val="00AD6D0D"/>
    <w:rPr>
      <w:rFonts w:ascii="Arial" w:eastAsia="Arial" w:hAnsi="Arial" w:cs="Arial"/>
      <w:b/>
      <w:bCs/>
      <w:shd w:val="clear" w:color="auto" w:fill="FFFFFF"/>
    </w:rPr>
  </w:style>
  <w:style w:type="character" w:customStyle="1" w:styleId="Bodytext5">
    <w:name w:val="Body text (5)_"/>
    <w:basedOn w:val="DefaultParagraphFont"/>
    <w:link w:val="Bodytext50"/>
    <w:rsid w:val="00AD6D0D"/>
    <w:rPr>
      <w:rFonts w:ascii="Arial" w:eastAsia="Arial" w:hAnsi="Arial" w:cs="Arial"/>
      <w:b/>
      <w:bCs/>
      <w:sz w:val="19"/>
      <w:szCs w:val="19"/>
      <w:shd w:val="clear" w:color="auto" w:fill="FFFFFF"/>
    </w:rPr>
  </w:style>
  <w:style w:type="character" w:customStyle="1" w:styleId="Bodytext6">
    <w:name w:val="Body text (6)_"/>
    <w:basedOn w:val="DefaultParagraphFont"/>
    <w:link w:val="Bodytext60"/>
    <w:rsid w:val="00AD6D0D"/>
    <w:rPr>
      <w:rFonts w:ascii="Arial Unicode MS" w:eastAsia="Arial Unicode MS" w:hAnsi="Arial Unicode MS" w:cs="Arial Unicode MS"/>
      <w:shd w:val="clear" w:color="auto" w:fill="FFFFFF"/>
    </w:rPr>
  </w:style>
  <w:style w:type="paragraph" w:customStyle="1" w:styleId="Bodytext20">
    <w:name w:val="Body text (2)"/>
    <w:basedOn w:val="Normal"/>
    <w:link w:val="Bodytext2"/>
    <w:rsid w:val="00AD6D0D"/>
    <w:pPr>
      <w:widowControl w:val="0"/>
      <w:shd w:val="clear" w:color="auto" w:fill="FFFFFF"/>
      <w:spacing w:before="300" w:after="300" w:line="269" w:lineRule="exact"/>
      <w:ind w:hanging="740"/>
      <w:jc w:val="both"/>
    </w:pPr>
    <w:rPr>
      <w:rFonts w:ascii="Arial Unicode MS" w:eastAsia="Arial Unicode MS" w:hAnsi="Arial Unicode MS" w:cs="Arial Unicode MS"/>
      <w:sz w:val="20"/>
      <w:szCs w:val="20"/>
    </w:rPr>
  </w:style>
  <w:style w:type="paragraph" w:customStyle="1" w:styleId="Heading20">
    <w:name w:val="Heading #2"/>
    <w:basedOn w:val="Normal"/>
    <w:link w:val="Heading21"/>
    <w:rsid w:val="00AD6D0D"/>
    <w:pPr>
      <w:widowControl w:val="0"/>
      <w:shd w:val="clear" w:color="auto" w:fill="FFFFFF"/>
      <w:spacing w:before="300" w:after="300" w:line="246" w:lineRule="exact"/>
      <w:jc w:val="both"/>
      <w:outlineLvl w:val="1"/>
    </w:pPr>
    <w:rPr>
      <w:rFonts w:ascii="Arial" w:eastAsia="Arial" w:hAnsi="Arial" w:cs="Arial"/>
      <w:b/>
      <w:bCs/>
      <w:sz w:val="20"/>
      <w:szCs w:val="20"/>
    </w:rPr>
  </w:style>
  <w:style w:type="paragraph" w:customStyle="1" w:styleId="Bodytext30">
    <w:name w:val="Body text (3)"/>
    <w:basedOn w:val="Normal"/>
    <w:link w:val="Bodytext3"/>
    <w:rsid w:val="00AD6D0D"/>
    <w:pPr>
      <w:widowControl w:val="0"/>
      <w:shd w:val="clear" w:color="auto" w:fill="FFFFFF"/>
      <w:spacing w:before="220" w:after="220" w:line="278" w:lineRule="exact"/>
      <w:jc w:val="both"/>
    </w:pPr>
    <w:rPr>
      <w:rFonts w:ascii="Arial" w:eastAsia="Arial" w:hAnsi="Arial" w:cs="Arial"/>
      <w:i/>
      <w:iCs/>
      <w:sz w:val="20"/>
      <w:szCs w:val="20"/>
    </w:rPr>
  </w:style>
  <w:style w:type="paragraph" w:customStyle="1" w:styleId="Bodytext40">
    <w:name w:val="Body text (4)"/>
    <w:basedOn w:val="Normal"/>
    <w:link w:val="Bodytext4"/>
    <w:rsid w:val="00AD6D0D"/>
    <w:pPr>
      <w:widowControl w:val="0"/>
      <w:shd w:val="clear" w:color="auto" w:fill="FFFFFF"/>
      <w:spacing w:before="220" w:after="220" w:line="246" w:lineRule="exact"/>
      <w:jc w:val="both"/>
    </w:pPr>
    <w:rPr>
      <w:rFonts w:ascii="Arial" w:eastAsia="Arial" w:hAnsi="Arial" w:cs="Arial"/>
      <w:b/>
      <w:bCs/>
      <w:sz w:val="20"/>
      <w:szCs w:val="20"/>
    </w:rPr>
  </w:style>
  <w:style w:type="paragraph" w:customStyle="1" w:styleId="Bodytext50">
    <w:name w:val="Body text (5)"/>
    <w:basedOn w:val="Normal"/>
    <w:link w:val="Bodytext5"/>
    <w:rsid w:val="00AD6D0D"/>
    <w:pPr>
      <w:widowControl w:val="0"/>
      <w:shd w:val="clear" w:color="auto" w:fill="FFFFFF"/>
      <w:spacing w:before="220" w:after="220" w:line="212" w:lineRule="exact"/>
    </w:pPr>
    <w:rPr>
      <w:rFonts w:ascii="Arial" w:eastAsia="Arial" w:hAnsi="Arial" w:cs="Arial"/>
      <w:b/>
      <w:bCs/>
      <w:sz w:val="19"/>
      <w:szCs w:val="19"/>
    </w:rPr>
  </w:style>
  <w:style w:type="paragraph" w:customStyle="1" w:styleId="Bodytext60">
    <w:name w:val="Body text (6)"/>
    <w:basedOn w:val="Normal"/>
    <w:link w:val="Bodytext6"/>
    <w:rsid w:val="00AD6D0D"/>
    <w:pPr>
      <w:widowControl w:val="0"/>
      <w:shd w:val="clear" w:color="auto" w:fill="FFFFFF"/>
      <w:spacing w:before="220" w:after="220" w:line="245" w:lineRule="exact"/>
      <w:jc w:val="both"/>
    </w:pPr>
    <w:rPr>
      <w:rFonts w:ascii="Arial Unicode MS" w:eastAsia="Arial Unicode MS" w:hAnsi="Arial Unicode MS" w:cs="Arial Unicode MS"/>
      <w:sz w:val="20"/>
      <w:szCs w:val="20"/>
    </w:rPr>
  </w:style>
  <w:style w:type="character" w:customStyle="1" w:styleId="Heading1Char">
    <w:name w:val="Heading 1 Char"/>
    <w:basedOn w:val="DefaultParagraphFont"/>
    <w:link w:val="Heading1"/>
    <w:rsid w:val="00CF19F8"/>
    <w:rPr>
      <w:rFonts w:ascii="Arial" w:hAnsi="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FFC7-DF90-44CA-93D9-2135E80E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Y v William Hill</dc:title>
  <dc:creator>Tammy Smart</dc:creator>
  <cp:lastModifiedBy>Marlene Woods</cp:lastModifiedBy>
  <cp:revision>20</cp:revision>
  <cp:lastPrinted>2016-10-06T01:55:00Z</cp:lastPrinted>
  <dcterms:created xsi:type="dcterms:W3CDTF">2016-02-11T00:05:00Z</dcterms:created>
  <dcterms:modified xsi:type="dcterms:W3CDTF">2016-10-16T23:21:00Z</dcterms:modified>
</cp:coreProperties>
</file>