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FF" w:rsidRDefault="00DD72D2" w:rsidP="00E30632">
      <w:pPr>
        <w:pStyle w:val="Title"/>
        <w:spacing w:after="0" w:line="360" w:lineRule="auto"/>
        <w:jc w:val="center"/>
        <w:rPr>
          <w:bCs/>
        </w:rPr>
      </w:pPr>
      <w:r>
        <w:rPr>
          <w:bCs/>
        </w:rPr>
        <w:t>Director-General of Licensing</w:t>
      </w:r>
    </w:p>
    <w:p w:rsidR="00DD72D2" w:rsidRPr="00DD72D2" w:rsidRDefault="00DD72D2" w:rsidP="00DD72D2">
      <w:pPr>
        <w:pStyle w:val="Title"/>
        <w:pBdr>
          <w:bottom w:val="single" w:sz="4" w:space="1" w:color="auto"/>
        </w:pBdr>
        <w:spacing w:after="0" w:line="240" w:lineRule="auto"/>
        <w:jc w:val="center"/>
        <w:rPr>
          <w:bCs/>
        </w:rPr>
      </w:pPr>
      <w:r w:rsidRPr="00DD72D2">
        <w:rPr>
          <w:bCs/>
        </w:rPr>
        <w:t>Decision Notice</w:t>
      </w:r>
    </w:p>
    <w:p w:rsidR="00F161FF" w:rsidRPr="00DD72D2" w:rsidRDefault="00DD72D2" w:rsidP="00DD72D2">
      <w:pPr>
        <w:tabs>
          <w:tab w:val="left" w:pos="2835"/>
        </w:tabs>
        <w:spacing w:before="240" w:after="240"/>
      </w:pPr>
      <w:r>
        <w:rPr>
          <w:b/>
        </w:rPr>
        <w:t>MATTER:</w:t>
      </w:r>
      <w:r>
        <w:rPr>
          <w:b/>
        </w:rPr>
        <w:tab/>
      </w:r>
      <w:r w:rsidR="00D53A9B" w:rsidRPr="00D53A9B">
        <w:t>Variation of conditions of a liquor licence</w:t>
      </w:r>
    </w:p>
    <w:p w:rsidR="00F161FF" w:rsidRPr="00DD72D2" w:rsidRDefault="00DD72D2" w:rsidP="00DD72D2">
      <w:pPr>
        <w:tabs>
          <w:tab w:val="left" w:pos="2835"/>
        </w:tabs>
        <w:spacing w:before="240" w:after="240"/>
        <w:rPr>
          <w:b/>
        </w:rPr>
      </w:pPr>
      <w:r w:rsidRPr="00DD72D2">
        <w:rPr>
          <w:b/>
        </w:rPr>
        <w:t>PREMISES:</w:t>
      </w:r>
      <w:r w:rsidRPr="00DD72D2">
        <w:rPr>
          <w:b/>
        </w:rPr>
        <w:tab/>
      </w:r>
      <w:r w:rsidR="007369D7">
        <w:t>Hot Tamale</w:t>
      </w:r>
    </w:p>
    <w:p w:rsidR="00F161FF" w:rsidRPr="00D53A9B" w:rsidRDefault="00D53A9B" w:rsidP="00DD72D2">
      <w:pPr>
        <w:tabs>
          <w:tab w:val="left" w:pos="2835"/>
        </w:tabs>
        <w:spacing w:before="240" w:after="240"/>
      </w:pPr>
      <w:r>
        <w:rPr>
          <w:b/>
        </w:rPr>
        <w:t>LICENSEE</w:t>
      </w:r>
      <w:r w:rsidR="00DD72D2" w:rsidRPr="00DD72D2">
        <w:rPr>
          <w:b/>
        </w:rPr>
        <w:t>:</w:t>
      </w:r>
      <w:r w:rsidR="00DD72D2" w:rsidRPr="00DD72D2">
        <w:rPr>
          <w:b/>
        </w:rPr>
        <w:tab/>
      </w:r>
      <w:r w:rsidR="007369D7" w:rsidRPr="007369D7">
        <w:t>Amigos Mexican Cantina Pty Ltd</w:t>
      </w:r>
    </w:p>
    <w:p w:rsidR="00F161FF" w:rsidRPr="00D53A9B" w:rsidRDefault="00DD72D2" w:rsidP="00DD72D2">
      <w:pPr>
        <w:tabs>
          <w:tab w:val="left" w:pos="2835"/>
        </w:tabs>
        <w:spacing w:before="240" w:after="240"/>
      </w:pPr>
      <w:r w:rsidRPr="00DD72D2">
        <w:rPr>
          <w:b/>
        </w:rPr>
        <w:t>NOMINEE:</w:t>
      </w:r>
      <w:r w:rsidRPr="00DD72D2">
        <w:rPr>
          <w:b/>
        </w:rPr>
        <w:tab/>
      </w:r>
      <w:r w:rsidR="00D53A9B" w:rsidRPr="00D53A9B">
        <w:t xml:space="preserve">Mr </w:t>
      </w:r>
      <w:r w:rsidR="00731463">
        <w:t>David</w:t>
      </w:r>
      <w:r w:rsidR="007369D7">
        <w:t xml:space="preserve"> Robinson</w:t>
      </w:r>
    </w:p>
    <w:p w:rsidR="00DD72D2" w:rsidRPr="00DD72D2" w:rsidRDefault="00DD72D2" w:rsidP="00DD72D2">
      <w:pPr>
        <w:tabs>
          <w:tab w:val="left" w:pos="2835"/>
        </w:tabs>
        <w:spacing w:before="240" w:after="240"/>
        <w:rPr>
          <w:b/>
        </w:rPr>
      </w:pPr>
      <w:r w:rsidRPr="00DD72D2">
        <w:rPr>
          <w:b/>
        </w:rPr>
        <w:t>LEGISLATION:</w:t>
      </w:r>
      <w:r w:rsidRPr="00DD72D2">
        <w:rPr>
          <w:b/>
        </w:rPr>
        <w:tab/>
      </w:r>
      <w:r w:rsidR="00D53A9B" w:rsidRPr="00D53A9B">
        <w:t xml:space="preserve">Section 33 of the </w:t>
      </w:r>
      <w:r w:rsidR="00D53A9B" w:rsidRPr="00D53A9B">
        <w:rPr>
          <w:i/>
        </w:rPr>
        <w:t>Liquor Act</w:t>
      </w:r>
    </w:p>
    <w:p w:rsidR="00DD72D2" w:rsidRPr="00D53A9B" w:rsidRDefault="00DD72D2" w:rsidP="00DD72D2">
      <w:pPr>
        <w:tabs>
          <w:tab w:val="left" w:pos="2835"/>
        </w:tabs>
        <w:spacing w:before="240" w:after="240"/>
        <w:rPr>
          <w:b/>
        </w:rPr>
      </w:pPr>
      <w:r w:rsidRPr="00DD72D2">
        <w:rPr>
          <w:b/>
        </w:rPr>
        <w:t>DECISION OF:</w:t>
      </w:r>
      <w:r>
        <w:tab/>
      </w:r>
      <w:r w:rsidRPr="00D53A9B">
        <w:t>Director-General of Licensing</w:t>
      </w:r>
    </w:p>
    <w:p w:rsidR="00DD72D2" w:rsidRPr="00D53A9B" w:rsidRDefault="00DD72D2" w:rsidP="00DD72D2">
      <w:pPr>
        <w:tabs>
          <w:tab w:val="left" w:pos="2835"/>
        </w:tabs>
        <w:spacing w:before="240" w:after="0"/>
      </w:pPr>
      <w:r w:rsidRPr="00DD72D2">
        <w:rPr>
          <w:b/>
        </w:rPr>
        <w:t>DATE OF DECISION:</w:t>
      </w:r>
      <w:r w:rsidRPr="00DD72D2">
        <w:rPr>
          <w:b/>
        </w:rPr>
        <w:tab/>
      </w:r>
      <w:r w:rsidR="00731463" w:rsidRPr="00731463">
        <w:t>11</w:t>
      </w:r>
      <w:r w:rsidR="007369D7" w:rsidRPr="00731463">
        <w:t xml:space="preserve"> A</w:t>
      </w:r>
      <w:r w:rsidR="007369D7">
        <w:t>pril 2017</w:t>
      </w:r>
    </w:p>
    <w:p w:rsidR="00F161FF" w:rsidRPr="00F161FF" w:rsidRDefault="00F161FF" w:rsidP="00F161FF">
      <w:pPr>
        <w:pBdr>
          <w:bottom w:val="single" w:sz="4" w:space="1" w:color="auto"/>
        </w:pBdr>
        <w:rPr>
          <w:b/>
        </w:rPr>
      </w:pPr>
    </w:p>
    <w:p w:rsidR="00F161FF" w:rsidRPr="00DD72D2" w:rsidRDefault="00DD72D2" w:rsidP="00DD72D2">
      <w:pPr>
        <w:pStyle w:val="Heading2"/>
        <w:spacing w:after="240"/>
      </w:pPr>
      <w:bookmarkStart w:id="0" w:name="TypeHere"/>
      <w:bookmarkEnd w:id="0"/>
      <w:r w:rsidRPr="00DD72D2">
        <w:t>BACKGROUND</w:t>
      </w:r>
    </w:p>
    <w:p w:rsidR="00731463" w:rsidRDefault="007369D7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>As a result of</w:t>
      </w:r>
      <w:r w:rsidR="000D1699">
        <w:t xml:space="preserve"> an application </w:t>
      </w:r>
      <w:r w:rsidR="00731463">
        <w:t xml:space="preserve">by </w:t>
      </w:r>
      <w:r w:rsidR="000D1699">
        <w:t xml:space="preserve">Amigos Mexican Cantina Pty </w:t>
      </w:r>
      <w:r w:rsidR="002C4957">
        <w:t>Ltd for</w:t>
      </w:r>
      <w:r>
        <w:t xml:space="preserve"> </w:t>
      </w:r>
      <w:r w:rsidR="00731463">
        <w:t xml:space="preserve">a </w:t>
      </w:r>
      <w:r>
        <w:t>temporary variation</w:t>
      </w:r>
      <w:r w:rsidR="00731463">
        <w:t xml:space="preserve"> to </w:t>
      </w:r>
      <w:r w:rsidR="000D1699">
        <w:t>the</w:t>
      </w:r>
      <w:r w:rsidR="00731463">
        <w:t xml:space="preserve"> licence to trade on Good Friday and a subsequent decisio</w:t>
      </w:r>
      <w:r w:rsidR="001E7C5F">
        <w:t>n by a delegate of the Director</w:t>
      </w:r>
      <w:r w:rsidR="001E7C5F">
        <w:noBreakHyphen/>
      </w:r>
      <w:r w:rsidR="00731463">
        <w:t xml:space="preserve">General of Licensing (the Director-General) to refuse that application, it has come to my attention that your licence currently contains a condition </w:t>
      </w:r>
      <w:r>
        <w:t>prohibit</w:t>
      </w:r>
      <w:r w:rsidR="00731463">
        <w:t>ing</w:t>
      </w:r>
      <w:r>
        <w:t xml:space="preserve"> trad</w:t>
      </w:r>
      <w:r w:rsidR="00731463">
        <w:t>e</w:t>
      </w:r>
      <w:r>
        <w:t xml:space="preserve"> on Good Friday</w:t>
      </w:r>
      <w:r w:rsidR="00731463">
        <w:t xml:space="preserve"> and Christmas Day.  </w:t>
      </w:r>
    </w:p>
    <w:p w:rsidR="000D1699" w:rsidRDefault="00731463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 xml:space="preserve">It is common </w:t>
      </w:r>
      <w:r w:rsidR="000D1699">
        <w:t xml:space="preserve">practice </w:t>
      </w:r>
      <w:r>
        <w:t>that those who trade under a “Restaurant” liquor licence are not prohibited from trading on Good Friday or Christmas Day</w:t>
      </w:r>
      <w:r w:rsidR="000D1699">
        <w:t xml:space="preserve"> as t</w:t>
      </w:r>
      <w:r w:rsidR="001E7C5F">
        <w:t>he risk of harm or alcohol</w:t>
      </w:r>
      <w:r w:rsidR="001E7C5F">
        <w:noBreakHyphen/>
      </w:r>
      <w:r>
        <w:t xml:space="preserve">related anti-social behaviour arising from a restaurant operating on these days is minimal.  </w:t>
      </w:r>
    </w:p>
    <w:p w:rsidR="00731463" w:rsidRDefault="00731463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 xml:space="preserve">As </w:t>
      </w:r>
      <w:r w:rsidR="002C4957">
        <w:t>the</w:t>
      </w:r>
      <w:r w:rsidR="000D1699">
        <w:t xml:space="preserve"> </w:t>
      </w:r>
      <w:r>
        <w:t xml:space="preserve">licence </w:t>
      </w:r>
      <w:r w:rsidR="000D1699">
        <w:t xml:space="preserve">currently </w:t>
      </w:r>
      <w:r>
        <w:t xml:space="preserve">describes, the premises operate as a restaurant with the provision of meals central to </w:t>
      </w:r>
      <w:r w:rsidR="002C4957">
        <w:t>its</w:t>
      </w:r>
      <w:r>
        <w:t xml:space="preserve"> operations.  The sale of liquor may be described as complimentary to the provision of meals.</w:t>
      </w:r>
    </w:p>
    <w:p w:rsidR="000D1699" w:rsidRDefault="00731463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>As a</w:t>
      </w:r>
      <w:r w:rsidR="000D1699">
        <w:t xml:space="preserve"> result on 10 April 2017 pursuant to section 33 of the </w:t>
      </w:r>
      <w:r w:rsidR="000D1699">
        <w:rPr>
          <w:i/>
        </w:rPr>
        <w:t>Liquor Act</w:t>
      </w:r>
      <w:r w:rsidR="002C4957">
        <w:rPr>
          <w:i/>
        </w:rPr>
        <w:t xml:space="preserve"> </w:t>
      </w:r>
      <w:r w:rsidR="002C4957">
        <w:t>(the Act)</w:t>
      </w:r>
      <w:r w:rsidR="000D1699">
        <w:rPr>
          <w:i/>
        </w:rPr>
        <w:t xml:space="preserve">, </w:t>
      </w:r>
      <w:r w:rsidR="000D1699">
        <w:t>I wrote to Mr</w:t>
      </w:r>
      <w:r w:rsidR="00964A99">
        <w:t> </w:t>
      </w:r>
      <w:r w:rsidR="000D1699">
        <w:t>David Robinson as nominee and Amigos Mexican Cantina Pty Ltd as licensee, advising of my intention to remove the following condition on the licence for the Hot Tamale:</w:t>
      </w:r>
    </w:p>
    <w:p w:rsidR="000D1699" w:rsidRPr="00035091" w:rsidRDefault="000D1699" w:rsidP="001E7C5F">
      <w:pPr>
        <w:pStyle w:val="ListParagraph"/>
        <w:spacing w:after="240"/>
        <w:ind w:left="1080" w:firstLine="360"/>
        <w:jc w:val="both"/>
        <w:rPr>
          <w:sz w:val="18"/>
          <w:szCs w:val="18"/>
        </w:rPr>
      </w:pPr>
      <w:r w:rsidRPr="00035091">
        <w:rPr>
          <w:b/>
          <w:sz w:val="18"/>
          <w:szCs w:val="18"/>
        </w:rPr>
        <w:t>Exceptions</w:t>
      </w:r>
      <w:r w:rsidRPr="00035091">
        <w:rPr>
          <w:b/>
          <w:sz w:val="18"/>
          <w:szCs w:val="18"/>
        </w:rPr>
        <w:tab/>
      </w:r>
      <w:r w:rsidRPr="00035091">
        <w:rPr>
          <w:sz w:val="18"/>
          <w:szCs w:val="18"/>
        </w:rPr>
        <w:t>(b)</w:t>
      </w:r>
      <w:r w:rsidRPr="00035091">
        <w:rPr>
          <w:sz w:val="18"/>
          <w:szCs w:val="18"/>
        </w:rPr>
        <w:tab/>
        <w:t xml:space="preserve"> No trading on Good Friday or Christmas Day.</w:t>
      </w:r>
    </w:p>
    <w:p w:rsidR="000D1699" w:rsidRPr="00035091" w:rsidRDefault="000D1699" w:rsidP="001E7C5F">
      <w:pPr>
        <w:pStyle w:val="ListParagraph"/>
        <w:spacing w:after="240"/>
        <w:ind w:left="360"/>
        <w:jc w:val="both"/>
        <w:rPr>
          <w:b/>
          <w:sz w:val="18"/>
          <w:szCs w:val="18"/>
        </w:rPr>
      </w:pPr>
    </w:p>
    <w:p w:rsidR="000D1699" w:rsidRDefault="000D1699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 xml:space="preserve">I invited the licensee </w:t>
      </w:r>
      <w:r w:rsidRPr="005B3A03">
        <w:t>to submit a response to the proposed variation of con</w:t>
      </w:r>
      <w:r>
        <w:t>ditions if they wished.  A period of 28 days is provided by the Act within which the licensee may submit a response to the proposed variation.</w:t>
      </w:r>
    </w:p>
    <w:p w:rsidR="00F161FF" w:rsidRPr="00DD72D2" w:rsidRDefault="00DD72D2" w:rsidP="001E7C5F">
      <w:pPr>
        <w:pStyle w:val="Heading2"/>
        <w:spacing w:after="240"/>
        <w:jc w:val="both"/>
      </w:pPr>
      <w:r w:rsidRPr="00DD72D2">
        <w:t>CURRENT SITUATION</w:t>
      </w:r>
    </w:p>
    <w:p w:rsidR="002C4957" w:rsidRDefault="005B3A03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 xml:space="preserve">On </w:t>
      </w:r>
      <w:r w:rsidR="002C4957">
        <w:t>11 April 2017, I received correspondence via email from the nominee advising that licensee has no objection to the removal of the licence condition which currently prohibits trade on Good Friday and Christmas Day.</w:t>
      </w:r>
    </w:p>
    <w:p w:rsidR="007C7784" w:rsidRDefault="007C7784" w:rsidP="007C7784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</w:pPr>
      <w:r>
        <w:lastRenderedPageBreak/>
        <w:t>Section 33 of the Act provides the following power to me as Director-General:</w:t>
      </w:r>
    </w:p>
    <w:p w:rsidR="007C7784" w:rsidRPr="007C7784" w:rsidRDefault="007C7784" w:rsidP="001E7C5F">
      <w:pPr>
        <w:pStyle w:val="NoSpacing"/>
        <w:ind w:left="720" w:firstLine="720"/>
        <w:jc w:val="both"/>
        <w:rPr>
          <w:b/>
          <w:sz w:val="18"/>
          <w:szCs w:val="18"/>
        </w:rPr>
      </w:pPr>
      <w:r w:rsidRPr="007C7784">
        <w:rPr>
          <w:b/>
          <w:sz w:val="18"/>
          <w:szCs w:val="18"/>
        </w:rPr>
        <w:t xml:space="preserve">33 Variation of conditions by Director-General </w:t>
      </w:r>
    </w:p>
    <w:p w:rsidR="007C7784" w:rsidRPr="007C7784" w:rsidRDefault="007C7784" w:rsidP="001E7C5F">
      <w:pPr>
        <w:pStyle w:val="NoSpacing"/>
        <w:jc w:val="both"/>
        <w:rPr>
          <w:sz w:val="18"/>
          <w:szCs w:val="18"/>
        </w:rPr>
      </w:pPr>
    </w:p>
    <w:p w:rsidR="007C7784" w:rsidRPr="007C7784" w:rsidRDefault="007C7784" w:rsidP="001E7C5F">
      <w:pPr>
        <w:pStyle w:val="NoSpacing"/>
        <w:ind w:left="1440"/>
        <w:jc w:val="both"/>
        <w:rPr>
          <w:sz w:val="18"/>
          <w:szCs w:val="18"/>
        </w:rPr>
      </w:pPr>
      <w:r w:rsidRPr="007C7784">
        <w:rPr>
          <w:sz w:val="18"/>
          <w:szCs w:val="18"/>
        </w:rPr>
        <w:t xml:space="preserve">(1) The Director-General may vary the conditions of a licence (other than a condition determined under section 33AA) on the Director-General's own initiative. </w:t>
      </w:r>
    </w:p>
    <w:p w:rsidR="007C7784" w:rsidRPr="007C7784" w:rsidRDefault="007C7784" w:rsidP="001E7C5F">
      <w:pPr>
        <w:pStyle w:val="NoSpacing"/>
        <w:jc w:val="both"/>
        <w:rPr>
          <w:sz w:val="18"/>
          <w:szCs w:val="18"/>
        </w:rPr>
      </w:pPr>
    </w:p>
    <w:p w:rsidR="007C7784" w:rsidRPr="007C7784" w:rsidRDefault="007C7784" w:rsidP="001E7C5F">
      <w:pPr>
        <w:pStyle w:val="NoSpacing"/>
        <w:ind w:left="720" w:firstLine="720"/>
        <w:jc w:val="both"/>
        <w:rPr>
          <w:sz w:val="18"/>
          <w:szCs w:val="18"/>
        </w:rPr>
      </w:pPr>
      <w:r w:rsidRPr="007C7784">
        <w:rPr>
          <w:sz w:val="18"/>
          <w:szCs w:val="18"/>
        </w:rPr>
        <w:t xml:space="preserve">(2) Before varying the conditions, the Director-General must give the licensee written notice: </w:t>
      </w:r>
    </w:p>
    <w:p w:rsidR="007C7784" w:rsidRPr="007C7784" w:rsidRDefault="007C7784" w:rsidP="001E7C5F">
      <w:pPr>
        <w:pStyle w:val="NoSpacing"/>
        <w:jc w:val="both"/>
        <w:rPr>
          <w:sz w:val="18"/>
          <w:szCs w:val="18"/>
        </w:rPr>
      </w:pPr>
    </w:p>
    <w:p w:rsidR="007C7784" w:rsidRPr="007C7784" w:rsidRDefault="007C7784" w:rsidP="001E7C5F">
      <w:pPr>
        <w:pStyle w:val="NoSpacing"/>
        <w:numPr>
          <w:ilvl w:val="0"/>
          <w:numId w:val="7"/>
        </w:numPr>
        <w:jc w:val="both"/>
        <w:rPr>
          <w:sz w:val="18"/>
          <w:szCs w:val="18"/>
        </w:rPr>
      </w:pPr>
      <w:r w:rsidRPr="007C7784">
        <w:rPr>
          <w:sz w:val="18"/>
          <w:szCs w:val="18"/>
        </w:rPr>
        <w:t xml:space="preserve">stating the proposed variation; and </w:t>
      </w:r>
    </w:p>
    <w:p w:rsidR="007C7784" w:rsidRPr="007C7784" w:rsidRDefault="007C7784" w:rsidP="001E7C5F">
      <w:pPr>
        <w:pStyle w:val="NoSpacing"/>
        <w:numPr>
          <w:ilvl w:val="0"/>
          <w:numId w:val="7"/>
        </w:numPr>
        <w:jc w:val="both"/>
        <w:rPr>
          <w:sz w:val="18"/>
          <w:szCs w:val="18"/>
        </w:rPr>
      </w:pPr>
      <w:r w:rsidRPr="007C7784">
        <w:rPr>
          <w:sz w:val="18"/>
          <w:szCs w:val="18"/>
        </w:rPr>
        <w:t xml:space="preserve">stating the reasons for the proposed variation; and </w:t>
      </w:r>
    </w:p>
    <w:p w:rsidR="007C7784" w:rsidRDefault="007C7784" w:rsidP="001E7C5F">
      <w:pPr>
        <w:pStyle w:val="NoSpacing"/>
        <w:numPr>
          <w:ilvl w:val="0"/>
          <w:numId w:val="7"/>
        </w:numPr>
        <w:jc w:val="both"/>
        <w:rPr>
          <w:sz w:val="18"/>
          <w:szCs w:val="18"/>
        </w:rPr>
      </w:pPr>
      <w:r w:rsidRPr="007C7784">
        <w:rPr>
          <w:sz w:val="18"/>
          <w:szCs w:val="18"/>
        </w:rPr>
        <w:t>inviting the licensee to submit a response to the proposed var</w:t>
      </w:r>
      <w:r w:rsidR="001E7C5F">
        <w:rPr>
          <w:sz w:val="18"/>
          <w:szCs w:val="18"/>
        </w:rPr>
        <w:t xml:space="preserve">iation within 28 days after the </w:t>
      </w:r>
      <w:r w:rsidRPr="007C7784">
        <w:rPr>
          <w:sz w:val="18"/>
          <w:szCs w:val="18"/>
        </w:rPr>
        <w:t>date of the notice.</w:t>
      </w:r>
    </w:p>
    <w:p w:rsidR="007C7784" w:rsidRPr="007C7784" w:rsidRDefault="007C7784" w:rsidP="001E7C5F">
      <w:pPr>
        <w:pStyle w:val="NoSpacing"/>
        <w:ind w:left="2160"/>
        <w:jc w:val="both"/>
        <w:rPr>
          <w:sz w:val="18"/>
          <w:szCs w:val="18"/>
        </w:rPr>
      </w:pPr>
    </w:p>
    <w:p w:rsidR="00DD72D2" w:rsidRDefault="00433F6A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 xml:space="preserve">The Act requires me in determining matters such as this, to </w:t>
      </w:r>
      <w:r w:rsidRPr="00433F6A">
        <w:t>consider any response of the licensee</w:t>
      </w:r>
      <w:r>
        <w:t>.</w:t>
      </w:r>
    </w:p>
    <w:p w:rsidR="00DD72D2" w:rsidRPr="00DD72D2" w:rsidRDefault="00DD72D2" w:rsidP="001E7C5F">
      <w:pPr>
        <w:pStyle w:val="Heading2"/>
        <w:spacing w:after="240"/>
        <w:jc w:val="both"/>
      </w:pPr>
      <w:r>
        <w:t>DECISION</w:t>
      </w:r>
    </w:p>
    <w:p w:rsidR="002C4957" w:rsidRPr="00F161FF" w:rsidRDefault="002C4957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>I have considered the submission of the licensee in which they have given support of the proposed variation.</w:t>
      </w:r>
    </w:p>
    <w:p w:rsidR="00DD72D2" w:rsidRDefault="002C4957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>As a result, I have determined p</w:t>
      </w:r>
      <w:r w:rsidR="00B57186">
        <w:t xml:space="preserve">ursuant to Section 33 of the </w:t>
      </w:r>
      <w:r w:rsidR="00B57186" w:rsidRPr="00675945">
        <w:rPr>
          <w:i/>
        </w:rPr>
        <w:t>Liquor Act</w:t>
      </w:r>
      <w:r>
        <w:rPr>
          <w:i/>
        </w:rPr>
        <w:t xml:space="preserve">, </w:t>
      </w:r>
      <w:r>
        <w:t xml:space="preserve">that </w:t>
      </w:r>
      <w:r w:rsidR="00B57186">
        <w:t xml:space="preserve">the following condition is to be </w:t>
      </w:r>
      <w:r w:rsidR="00B555A1">
        <w:t>removed from</w:t>
      </w:r>
      <w:r w:rsidR="00B57186">
        <w:t xml:space="preserve"> liquor licence </w:t>
      </w:r>
      <w:r w:rsidR="00B555A1" w:rsidRPr="00B555A1">
        <w:t>80518538</w:t>
      </w:r>
      <w:r w:rsidR="00B57186">
        <w:t xml:space="preserve"> – the </w:t>
      </w:r>
      <w:r w:rsidR="00B555A1">
        <w:t>Hot Tamale</w:t>
      </w:r>
      <w:r w:rsidR="00B57186">
        <w:t xml:space="preserve">, </w:t>
      </w:r>
      <w:r w:rsidR="00B555A1">
        <w:t>Amigos Mexican Cantina P</w:t>
      </w:r>
      <w:r w:rsidR="00675945">
        <w:t>ty Ltd as licensee:</w:t>
      </w:r>
    </w:p>
    <w:p w:rsidR="00B555A1" w:rsidRPr="00964A99" w:rsidRDefault="00B555A1" w:rsidP="001E7C5F">
      <w:pPr>
        <w:pStyle w:val="ListParagraph"/>
        <w:spacing w:after="240"/>
        <w:ind w:left="1440"/>
        <w:contextualSpacing w:val="0"/>
        <w:jc w:val="both"/>
        <w:rPr>
          <w:sz w:val="18"/>
          <w:szCs w:val="18"/>
        </w:rPr>
      </w:pPr>
      <w:r w:rsidRPr="00964A99">
        <w:rPr>
          <w:b/>
          <w:sz w:val="18"/>
          <w:szCs w:val="18"/>
        </w:rPr>
        <w:t>Exceptions</w:t>
      </w:r>
      <w:r w:rsidRPr="00964A99">
        <w:rPr>
          <w:sz w:val="18"/>
          <w:szCs w:val="18"/>
        </w:rPr>
        <w:tab/>
        <w:t>(b)</w:t>
      </w:r>
      <w:r w:rsidRPr="00964A99">
        <w:rPr>
          <w:sz w:val="18"/>
          <w:szCs w:val="18"/>
        </w:rPr>
        <w:tab/>
        <w:t xml:space="preserve"> No trading on Good Friday or Christmas Day.</w:t>
      </w:r>
    </w:p>
    <w:p w:rsidR="00DD72D2" w:rsidRPr="00F161FF" w:rsidRDefault="00B57186" w:rsidP="001E7C5F">
      <w:pPr>
        <w:pStyle w:val="ListParagraph"/>
        <w:numPr>
          <w:ilvl w:val="0"/>
          <w:numId w:val="2"/>
        </w:numPr>
        <w:spacing w:after="240"/>
        <w:ind w:left="567" w:hanging="567"/>
        <w:contextualSpacing w:val="0"/>
        <w:jc w:val="both"/>
      </w:pPr>
      <w:r>
        <w:t>T</w:t>
      </w:r>
      <w:r w:rsidR="002C4957">
        <w:t xml:space="preserve">he variation </w:t>
      </w:r>
      <w:r>
        <w:t xml:space="preserve">is to take effect upon receipt </w:t>
      </w:r>
      <w:r w:rsidR="002C4957">
        <w:t xml:space="preserve">by the licensee of </w:t>
      </w:r>
      <w:r>
        <w:t>this Decision Notice.</w:t>
      </w:r>
    </w:p>
    <w:p w:rsidR="00DD72D2" w:rsidRDefault="00DD72D2" w:rsidP="00964A99">
      <w:pPr>
        <w:pStyle w:val="Heading2"/>
        <w:spacing w:after="240"/>
        <w:jc w:val="both"/>
      </w:pPr>
      <w:r w:rsidRPr="00B57186">
        <w:t>REVIEW OF DECISION</w:t>
      </w:r>
    </w:p>
    <w:p w:rsidR="00B57186" w:rsidRDefault="00B57186" w:rsidP="001E7C5F">
      <w:pPr>
        <w:pStyle w:val="NoSpacing"/>
        <w:numPr>
          <w:ilvl w:val="0"/>
          <w:numId w:val="2"/>
        </w:numPr>
        <w:ind w:left="567" w:hanging="567"/>
        <w:jc w:val="both"/>
      </w:pPr>
      <w:r>
        <w:t>Section</w:t>
      </w:r>
      <w:r w:rsidRPr="00B57186">
        <w:t xml:space="preserve"> 120ZA of the Act provides that a decision of the Director-General, as specified in the Schedule to the Act, is a reviewable decision.  A decision to </w:t>
      </w:r>
      <w:r>
        <w:t>vary the conditions of a liquor licence pursuant to Section 33 of the Act</w:t>
      </w:r>
      <w:r w:rsidRPr="00B57186">
        <w:t xml:space="preserve"> is specified in the Schedule and is a reviewable decision.  Section 120ZC of the Act provides that a person affected by this decision may seek a review before the Northern Territory Civil and Administrative Tribunal.  Section 120ZB of the Act prescribes an </w:t>
      </w:r>
      <w:r w:rsidRPr="00B57186">
        <w:rPr>
          <w:b/>
          <w:i/>
        </w:rPr>
        <w:t>affected person</w:t>
      </w:r>
      <w:r w:rsidRPr="00B57186">
        <w:t xml:space="preserve"> to be the </w:t>
      </w:r>
      <w:r>
        <w:t>licensee</w:t>
      </w:r>
      <w:r w:rsidRPr="00B57186">
        <w:t xml:space="preserve"> and a person who made a submission, complaint or objection (however described) during the process that resulted in the decision being made.</w:t>
      </w:r>
    </w:p>
    <w:p w:rsidR="00675945" w:rsidRDefault="00675945" w:rsidP="001E7C5F">
      <w:pPr>
        <w:pStyle w:val="NoSpacing"/>
        <w:ind w:left="567"/>
        <w:jc w:val="both"/>
      </w:pPr>
    </w:p>
    <w:p w:rsidR="00675945" w:rsidRDefault="00675945" w:rsidP="001E7C5F">
      <w:pPr>
        <w:pStyle w:val="NoSpacing"/>
        <w:numPr>
          <w:ilvl w:val="0"/>
          <w:numId w:val="2"/>
        </w:numPr>
        <w:ind w:left="567" w:hanging="567"/>
        <w:jc w:val="both"/>
      </w:pPr>
      <w:r w:rsidRPr="00675945">
        <w:t>The affected person</w:t>
      </w:r>
      <w:r>
        <w:t xml:space="preserve"> in relation to this matter is </w:t>
      </w:r>
      <w:r w:rsidR="00B555A1">
        <w:t>Amigos Mexi</w:t>
      </w:r>
      <w:r w:rsidR="002C4957">
        <w:t>ca</w:t>
      </w:r>
      <w:r w:rsidR="00B555A1">
        <w:t>n Cantina</w:t>
      </w:r>
      <w:r>
        <w:t xml:space="preserve"> Pty Ltd.</w:t>
      </w:r>
    </w:p>
    <w:p w:rsidR="00964A99" w:rsidRDefault="00964A99" w:rsidP="00964A99">
      <w:pPr>
        <w:pStyle w:val="ListParagraph"/>
      </w:pPr>
    </w:p>
    <w:p w:rsidR="00964A99" w:rsidRDefault="00964A99" w:rsidP="00964A99">
      <w:pPr>
        <w:pStyle w:val="NoSpacing"/>
        <w:ind w:left="567"/>
        <w:jc w:val="both"/>
      </w:pPr>
    </w:p>
    <w:p w:rsidR="00964A99" w:rsidRDefault="00964A99" w:rsidP="00964A99">
      <w:pPr>
        <w:pStyle w:val="NoSpacing"/>
        <w:jc w:val="both"/>
        <w:rPr>
          <w:noProof/>
          <w:lang w:eastAsia="en-AU"/>
        </w:rPr>
      </w:pPr>
    </w:p>
    <w:p w:rsidR="003B485D" w:rsidRDefault="003B485D" w:rsidP="00964A99">
      <w:pPr>
        <w:pStyle w:val="NoSpacing"/>
        <w:jc w:val="both"/>
        <w:rPr>
          <w:noProof/>
          <w:lang w:eastAsia="en-AU"/>
        </w:rPr>
      </w:pPr>
    </w:p>
    <w:p w:rsidR="003B485D" w:rsidRDefault="003B485D" w:rsidP="00964A99">
      <w:pPr>
        <w:pStyle w:val="NoSpacing"/>
        <w:jc w:val="both"/>
        <w:rPr>
          <w:b/>
        </w:rPr>
      </w:pPr>
      <w:bookmarkStart w:id="1" w:name="_GoBack"/>
      <w:bookmarkEnd w:id="1"/>
    </w:p>
    <w:p w:rsidR="00DD72D2" w:rsidRPr="00675945" w:rsidRDefault="00DD72D2" w:rsidP="00964A99">
      <w:pPr>
        <w:pStyle w:val="NoSpacing"/>
        <w:jc w:val="both"/>
        <w:rPr>
          <w:b/>
        </w:rPr>
      </w:pPr>
      <w:r w:rsidRPr="00675945">
        <w:rPr>
          <w:b/>
        </w:rPr>
        <w:t>Cindy Bravos</w:t>
      </w:r>
    </w:p>
    <w:p w:rsidR="00DD72D2" w:rsidRPr="00E30632" w:rsidRDefault="00DD72D2" w:rsidP="00DD72D2">
      <w:pPr>
        <w:spacing w:after="240"/>
      </w:pPr>
      <w:r w:rsidRPr="00E30632">
        <w:t>Director-General of Licensing</w:t>
      </w:r>
    </w:p>
    <w:p w:rsidR="00DD72D2" w:rsidRPr="00DD72D2" w:rsidRDefault="002C4957" w:rsidP="00DD72D2">
      <w:pPr>
        <w:spacing w:after="240"/>
      </w:pPr>
      <w:r>
        <w:t>11</w:t>
      </w:r>
      <w:r w:rsidR="00B555A1">
        <w:t xml:space="preserve"> April 2017</w:t>
      </w:r>
    </w:p>
    <w:sectPr w:rsidR="00DD72D2" w:rsidRPr="00DD72D2" w:rsidSect="002C49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440" w:left="1134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52" w:rsidRDefault="00AA5B52" w:rsidP="003E58C0">
      <w:pPr>
        <w:spacing w:after="0"/>
      </w:pPr>
      <w:r>
        <w:separator/>
      </w:r>
    </w:p>
  </w:endnote>
  <w:endnote w:type="continuationSeparator" w:id="0">
    <w:p w:rsidR="00AA5B52" w:rsidRDefault="00AA5B52" w:rsidP="003E58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D" w:rsidRPr="00825D0D" w:rsidRDefault="00825D0D" w:rsidP="00825D0D">
    <w:pPr>
      <w:pBdr>
        <w:top w:val="single" w:sz="4" w:space="1" w:color="auto"/>
      </w:pBdr>
      <w:tabs>
        <w:tab w:val="right" w:pos="9638"/>
      </w:tabs>
      <w:spacing w:after="0"/>
      <w:rPr>
        <w:sz w:val="18"/>
        <w:szCs w:val="18"/>
      </w:rPr>
    </w:pPr>
    <w:r w:rsidRPr="00825D0D">
      <w:rPr>
        <w:sz w:val="18"/>
        <w:szCs w:val="18"/>
      </w:rPr>
      <w:t xml:space="preserve">Decision for </w:t>
    </w:r>
    <w:r w:rsidR="007369D7" w:rsidRPr="007369D7">
      <w:rPr>
        <w:sz w:val="18"/>
        <w:szCs w:val="18"/>
      </w:rPr>
      <w:t>Amigos Mexican Cantina Pty Ltd</w:t>
    </w:r>
    <w:r w:rsidR="00D53A9B">
      <w:rPr>
        <w:sz w:val="18"/>
        <w:szCs w:val="18"/>
      </w:rPr>
      <w:tab/>
      <w:t>Date of Decision:</w:t>
    </w:r>
    <w:r w:rsidR="005F3C4D">
      <w:rPr>
        <w:sz w:val="18"/>
        <w:szCs w:val="18"/>
      </w:rPr>
      <w:t xml:space="preserve">  </w:t>
    </w:r>
    <w:r w:rsidR="000E6887">
      <w:rPr>
        <w:sz w:val="18"/>
        <w:szCs w:val="18"/>
      </w:rPr>
      <w:t xml:space="preserve">11 </w:t>
    </w:r>
    <w:r w:rsidR="007369D7">
      <w:rPr>
        <w:sz w:val="18"/>
        <w:szCs w:val="18"/>
      </w:rPr>
      <w:t xml:space="preserve"> April 2017</w:t>
    </w:r>
  </w:p>
  <w:p w:rsidR="00825D0D" w:rsidRPr="00825D0D" w:rsidRDefault="00825D0D" w:rsidP="00825D0D">
    <w:pPr>
      <w:tabs>
        <w:tab w:val="right" w:pos="9638"/>
      </w:tabs>
      <w:rPr>
        <w:sz w:val="18"/>
        <w:szCs w:val="18"/>
      </w:rPr>
    </w:pPr>
    <w:r w:rsidRPr="00825D0D">
      <w:rPr>
        <w:sz w:val="18"/>
        <w:szCs w:val="18"/>
      </w:rPr>
      <w:t xml:space="preserve">Ref# </w:t>
    </w:r>
    <w:r w:rsidR="00B77085">
      <w:rPr>
        <w:sz w:val="18"/>
        <w:szCs w:val="18"/>
      </w:rPr>
      <w:t>DOB2015/00485-0096</w:t>
    </w:r>
    <w:r w:rsidRPr="00825D0D">
      <w:rPr>
        <w:sz w:val="18"/>
        <w:szCs w:val="18"/>
      </w:rPr>
      <w:tab/>
    </w:r>
    <w:r w:rsidRPr="00825D0D">
      <w:rPr>
        <w:sz w:val="18"/>
        <w:szCs w:val="18"/>
      </w:rPr>
      <w:fldChar w:fldCharType="begin"/>
    </w:r>
    <w:r w:rsidRPr="00825D0D">
      <w:rPr>
        <w:sz w:val="18"/>
        <w:szCs w:val="18"/>
      </w:rPr>
      <w:instrText xml:space="preserve"> PAGE   \* MERGEFORMAT </w:instrText>
    </w:r>
    <w:r w:rsidRPr="00825D0D">
      <w:rPr>
        <w:sz w:val="18"/>
        <w:szCs w:val="18"/>
      </w:rPr>
      <w:fldChar w:fldCharType="separate"/>
    </w:r>
    <w:r w:rsidR="003B485D">
      <w:rPr>
        <w:noProof/>
        <w:sz w:val="18"/>
        <w:szCs w:val="18"/>
      </w:rPr>
      <w:t>2</w:t>
    </w:r>
    <w:r w:rsidRPr="00825D0D">
      <w:rPr>
        <w:noProof/>
        <w:sz w:val="18"/>
        <w:szCs w:val="18"/>
      </w:rPr>
      <w:fldChar w:fldCharType="end"/>
    </w:r>
  </w:p>
  <w:p w:rsidR="00A66342" w:rsidRPr="00F75669" w:rsidRDefault="00F75669" w:rsidP="00825D0D">
    <w:pPr>
      <w:tabs>
        <w:tab w:val="left" w:pos="4536"/>
        <w:tab w:val="left" w:pos="6946"/>
      </w:tabs>
      <w:jc w:val="right"/>
      <w:rPr>
        <w:sz w:val="15"/>
        <w:szCs w:val="15"/>
      </w:rPr>
    </w:pPr>
    <w:r w:rsidRPr="00F23CE7">
      <w:rPr>
        <w:rFonts w:ascii="Lato Black" w:hAnsi="Lato Black"/>
        <w:b/>
        <w:sz w:val="16"/>
        <w:szCs w:val="16"/>
      </w:rPr>
      <w:t>http://www.nt.gov.au/justice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D" w:rsidRPr="00825D0D" w:rsidRDefault="00825D0D" w:rsidP="00825D0D">
    <w:pPr>
      <w:pBdr>
        <w:top w:val="single" w:sz="4" w:space="1" w:color="auto"/>
      </w:pBdr>
      <w:tabs>
        <w:tab w:val="right" w:pos="9638"/>
      </w:tabs>
      <w:spacing w:after="0"/>
      <w:rPr>
        <w:sz w:val="18"/>
        <w:szCs w:val="18"/>
      </w:rPr>
    </w:pPr>
    <w:r w:rsidRPr="00825D0D">
      <w:rPr>
        <w:sz w:val="18"/>
        <w:szCs w:val="18"/>
      </w:rPr>
      <w:t xml:space="preserve">Decision for </w:t>
    </w:r>
    <w:r w:rsidR="007369D7" w:rsidRPr="007369D7">
      <w:rPr>
        <w:sz w:val="18"/>
        <w:szCs w:val="18"/>
      </w:rPr>
      <w:t>Amigos Mexican Cantina Pty Ltd</w:t>
    </w:r>
    <w:r w:rsidRPr="00825D0D">
      <w:rPr>
        <w:sz w:val="18"/>
        <w:szCs w:val="18"/>
      </w:rPr>
      <w:tab/>
      <w:t xml:space="preserve">Date of Decision: </w:t>
    </w:r>
    <w:r w:rsidR="007369D7">
      <w:rPr>
        <w:sz w:val="18"/>
        <w:szCs w:val="18"/>
      </w:rPr>
      <w:t xml:space="preserve"> April 2017</w:t>
    </w:r>
  </w:p>
  <w:p w:rsidR="00825D0D" w:rsidRPr="00825D0D" w:rsidRDefault="00D53A9B" w:rsidP="00825D0D">
    <w:pPr>
      <w:tabs>
        <w:tab w:val="right" w:pos="9638"/>
      </w:tabs>
      <w:rPr>
        <w:sz w:val="18"/>
        <w:szCs w:val="18"/>
      </w:rPr>
    </w:pPr>
    <w:r>
      <w:rPr>
        <w:sz w:val="18"/>
        <w:szCs w:val="18"/>
      </w:rPr>
      <w:t>Ref# DOB201</w:t>
    </w:r>
    <w:r w:rsidR="00964A99">
      <w:rPr>
        <w:sz w:val="18"/>
        <w:szCs w:val="18"/>
      </w:rPr>
      <w:t>5/00485-0096</w:t>
    </w:r>
    <w:r w:rsidR="00825D0D" w:rsidRPr="00825D0D">
      <w:rPr>
        <w:sz w:val="18"/>
        <w:szCs w:val="18"/>
      </w:rPr>
      <w:tab/>
    </w:r>
    <w:r w:rsidR="00825D0D" w:rsidRPr="00825D0D">
      <w:rPr>
        <w:sz w:val="18"/>
        <w:szCs w:val="18"/>
      </w:rPr>
      <w:fldChar w:fldCharType="begin"/>
    </w:r>
    <w:r w:rsidR="00825D0D" w:rsidRPr="00825D0D">
      <w:rPr>
        <w:sz w:val="18"/>
        <w:szCs w:val="18"/>
      </w:rPr>
      <w:instrText xml:space="preserve"> PAGE   \* MERGEFORMAT </w:instrText>
    </w:r>
    <w:r w:rsidR="00825D0D" w:rsidRPr="00825D0D">
      <w:rPr>
        <w:sz w:val="18"/>
        <w:szCs w:val="18"/>
      </w:rPr>
      <w:fldChar w:fldCharType="separate"/>
    </w:r>
    <w:r w:rsidR="003B485D">
      <w:rPr>
        <w:noProof/>
        <w:sz w:val="18"/>
        <w:szCs w:val="18"/>
      </w:rPr>
      <w:t>1</w:t>
    </w:r>
    <w:r w:rsidR="00825D0D" w:rsidRPr="00825D0D">
      <w:rPr>
        <w:noProof/>
        <w:sz w:val="18"/>
        <w:szCs w:val="18"/>
      </w:rPr>
      <w:fldChar w:fldCharType="end"/>
    </w:r>
  </w:p>
  <w:p w:rsidR="00A66342" w:rsidRPr="00825D0D" w:rsidRDefault="00825D0D" w:rsidP="00825D0D">
    <w:pPr>
      <w:tabs>
        <w:tab w:val="left" w:pos="4536"/>
        <w:tab w:val="left" w:pos="6946"/>
      </w:tabs>
      <w:jc w:val="right"/>
      <w:rPr>
        <w:sz w:val="15"/>
        <w:szCs w:val="15"/>
      </w:rPr>
    </w:pPr>
    <w:r w:rsidRPr="00F23CE7">
      <w:rPr>
        <w:rFonts w:ascii="Lato Black" w:hAnsi="Lato Black"/>
        <w:b/>
        <w:sz w:val="16"/>
        <w:szCs w:val="16"/>
      </w:rPr>
      <w:t>http://www.nt.gov.au/justice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52" w:rsidRDefault="00AA5B52" w:rsidP="003E58C0">
      <w:pPr>
        <w:spacing w:after="0"/>
      </w:pPr>
      <w:r>
        <w:separator/>
      </w:r>
    </w:p>
  </w:footnote>
  <w:footnote w:type="continuationSeparator" w:id="0">
    <w:p w:rsidR="00AA5B52" w:rsidRDefault="00AA5B52" w:rsidP="003E58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F0" w:rsidRDefault="008C03F0" w:rsidP="008C03F0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42" w:rsidRPr="00611615" w:rsidRDefault="00F86B64" w:rsidP="00611615">
    <w:pPr>
      <w:pStyle w:val="Header"/>
    </w:pPr>
    <w:r>
      <w:rPr>
        <w:noProof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496E6050" wp14:editId="2A71BAF3">
          <wp:simplePos x="0" y="0"/>
          <wp:positionH relativeFrom="column">
            <wp:posOffset>-204518</wp:posOffset>
          </wp:positionH>
          <wp:positionV relativeFrom="paragraph">
            <wp:posOffset>-452755</wp:posOffset>
          </wp:positionV>
          <wp:extent cx="6739075" cy="1109965"/>
          <wp:effectExtent l="0" t="0" r="0" b="0"/>
          <wp:wrapNone/>
          <wp:docPr id="3" name="Picture 3" descr="P:\Branding\NTG_newBranding\AGD_branding_2016\agd_letterHead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Branding\NTG_newBranding\AGD_branding_2016\agd_letterHead2016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075" cy="110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70EB"/>
    <w:multiLevelType w:val="hybridMultilevel"/>
    <w:tmpl w:val="60C4D0E6"/>
    <w:lvl w:ilvl="0" w:tplc="772682F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705392"/>
    <w:multiLevelType w:val="hybridMultilevel"/>
    <w:tmpl w:val="EF16ADC6"/>
    <w:lvl w:ilvl="0" w:tplc="6A662E84">
      <w:start w:val="3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691C"/>
    <w:multiLevelType w:val="hybridMultilevel"/>
    <w:tmpl w:val="59D4A55A"/>
    <w:lvl w:ilvl="0" w:tplc="CAFEEA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021DA"/>
    <w:multiLevelType w:val="hybridMultilevel"/>
    <w:tmpl w:val="51FCAB98"/>
    <w:lvl w:ilvl="0" w:tplc="772682F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FF13C54"/>
    <w:multiLevelType w:val="hybridMultilevel"/>
    <w:tmpl w:val="9228B6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A7A5F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A1678"/>
    <w:multiLevelType w:val="hybridMultilevel"/>
    <w:tmpl w:val="7B9476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B"/>
    <w:rsid w:val="00035091"/>
    <w:rsid w:val="00035826"/>
    <w:rsid w:val="00037A6D"/>
    <w:rsid w:val="000D1699"/>
    <w:rsid w:val="000D18B9"/>
    <w:rsid w:val="000E6887"/>
    <w:rsid w:val="00154B6F"/>
    <w:rsid w:val="001606E6"/>
    <w:rsid w:val="00193F0F"/>
    <w:rsid w:val="001E6FF6"/>
    <w:rsid w:val="001E7C5F"/>
    <w:rsid w:val="002C4957"/>
    <w:rsid w:val="002D2C9C"/>
    <w:rsid w:val="0032619B"/>
    <w:rsid w:val="003B485D"/>
    <w:rsid w:val="003E309D"/>
    <w:rsid w:val="003E58C0"/>
    <w:rsid w:val="00424BE1"/>
    <w:rsid w:val="00433F6A"/>
    <w:rsid w:val="004500C5"/>
    <w:rsid w:val="004827C5"/>
    <w:rsid w:val="004F01B6"/>
    <w:rsid w:val="00516B5B"/>
    <w:rsid w:val="005A0B41"/>
    <w:rsid w:val="005B3A03"/>
    <w:rsid w:val="005F3C4D"/>
    <w:rsid w:val="00611615"/>
    <w:rsid w:val="0063134A"/>
    <w:rsid w:val="006506E0"/>
    <w:rsid w:val="00675945"/>
    <w:rsid w:val="00690008"/>
    <w:rsid w:val="006A0B9A"/>
    <w:rsid w:val="006D4EC1"/>
    <w:rsid w:val="00731463"/>
    <w:rsid w:val="00731CC0"/>
    <w:rsid w:val="0073515A"/>
    <w:rsid w:val="007369D7"/>
    <w:rsid w:val="0078053C"/>
    <w:rsid w:val="007C7784"/>
    <w:rsid w:val="00825D0D"/>
    <w:rsid w:val="008C03F0"/>
    <w:rsid w:val="008E1EBA"/>
    <w:rsid w:val="009519BE"/>
    <w:rsid w:val="00964A99"/>
    <w:rsid w:val="009C5D09"/>
    <w:rsid w:val="00A66342"/>
    <w:rsid w:val="00AA5B52"/>
    <w:rsid w:val="00AC5014"/>
    <w:rsid w:val="00B35447"/>
    <w:rsid w:val="00B555A1"/>
    <w:rsid w:val="00B57186"/>
    <w:rsid w:val="00B77085"/>
    <w:rsid w:val="00B83B43"/>
    <w:rsid w:val="00B861D4"/>
    <w:rsid w:val="00C9103C"/>
    <w:rsid w:val="00CC5342"/>
    <w:rsid w:val="00D15847"/>
    <w:rsid w:val="00D402F0"/>
    <w:rsid w:val="00D53A9B"/>
    <w:rsid w:val="00D7349E"/>
    <w:rsid w:val="00DB5506"/>
    <w:rsid w:val="00DD72D2"/>
    <w:rsid w:val="00E30632"/>
    <w:rsid w:val="00F161FF"/>
    <w:rsid w:val="00F75669"/>
    <w:rsid w:val="00F86B64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B42F0-27F7-4725-BDD4-F3F0D3C5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0"/>
    <w:pPr>
      <w:spacing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3F0"/>
    <w:pPr>
      <w:keepNext/>
      <w:keepLines/>
      <w:spacing w:after="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CC0"/>
    <w:pPr>
      <w:keepNext/>
      <w:keepLines/>
      <w:spacing w:after="0"/>
      <w:outlineLvl w:val="1"/>
    </w:pPr>
    <w:rPr>
      <w:rFonts w:eastAsia="Times New Roman"/>
      <w:b/>
      <w:bCs/>
      <w:color w:val="606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CC0"/>
    <w:pPr>
      <w:keepNext/>
      <w:keepLines/>
      <w:spacing w:after="0"/>
      <w:outlineLvl w:val="2"/>
    </w:pPr>
    <w:rPr>
      <w:rFonts w:eastAsia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CC0"/>
    <w:pPr>
      <w:keepNext/>
      <w:keepLines/>
      <w:spacing w:after="0"/>
      <w:outlineLvl w:val="3"/>
    </w:pPr>
    <w:rPr>
      <w:rFonts w:eastAsia="Times New Roman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58C0"/>
  </w:style>
  <w:style w:type="paragraph" w:styleId="Footer">
    <w:name w:val="footer"/>
    <w:basedOn w:val="Normal"/>
    <w:link w:val="FooterChar"/>
    <w:uiPriority w:val="99"/>
    <w:unhideWhenUsed/>
    <w:rsid w:val="003E58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58C0"/>
  </w:style>
  <w:style w:type="paragraph" w:styleId="Title">
    <w:name w:val="Title"/>
    <w:basedOn w:val="Normal"/>
    <w:next w:val="Normal"/>
    <w:link w:val="TitleChar"/>
    <w:uiPriority w:val="10"/>
    <w:qFormat/>
    <w:rsid w:val="008C03F0"/>
    <w:pPr>
      <w:spacing w:after="240" w:line="480" w:lineRule="auto"/>
      <w:contextualSpacing/>
    </w:pPr>
    <w:rPr>
      <w:rFonts w:eastAsia="Times New Roman"/>
      <w:b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C03F0"/>
    <w:rPr>
      <w:rFonts w:ascii="Lato" w:eastAsia="Times New Roman" w:hAnsi="Lato" w:cs="Times New Roman"/>
      <w:b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8C03F0"/>
    <w:rPr>
      <w:rFonts w:ascii="Lato" w:eastAsia="Times New Roman" w:hAnsi="Lato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731CC0"/>
    <w:rPr>
      <w:rFonts w:ascii="Lato" w:eastAsia="Times New Roman" w:hAnsi="Lato" w:cs="Times New Roman"/>
      <w:b/>
      <w:bCs/>
      <w:color w:val="606060"/>
      <w:sz w:val="28"/>
      <w:szCs w:val="26"/>
    </w:rPr>
  </w:style>
  <w:style w:type="character" w:customStyle="1" w:styleId="Heading3Char">
    <w:name w:val="Heading 3 Char"/>
    <w:link w:val="Heading3"/>
    <w:uiPriority w:val="9"/>
    <w:rsid w:val="00731CC0"/>
    <w:rPr>
      <w:rFonts w:ascii="Lato" w:eastAsia="Times New Roman" w:hAnsi="Lato" w:cs="Times New Roman"/>
      <w:b/>
      <w:bCs/>
      <w:color w:val="000000"/>
      <w:sz w:val="24"/>
    </w:rPr>
  </w:style>
  <w:style w:type="character" w:customStyle="1" w:styleId="Heading4Char">
    <w:name w:val="Heading 4 Char"/>
    <w:link w:val="Heading4"/>
    <w:uiPriority w:val="9"/>
    <w:rsid w:val="00731CC0"/>
    <w:rPr>
      <w:rFonts w:ascii="Lato" w:eastAsia="Times New Roman" w:hAnsi="Lato" w:cs="Times New Roman"/>
      <w:b/>
      <w:bCs/>
      <w:iCs/>
      <w:color w:val="606060"/>
    </w:rPr>
  </w:style>
  <w:style w:type="paragraph" w:styleId="ListParagraph">
    <w:name w:val="List Paragraph"/>
    <w:basedOn w:val="Normal"/>
    <w:uiPriority w:val="34"/>
    <w:qFormat/>
    <w:rsid w:val="00DD72D2"/>
    <w:pPr>
      <w:ind w:left="720"/>
      <w:contextualSpacing/>
    </w:pPr>
  </w:style>
  <w:style w:type="paragraph" w:styleId="NoSpacing">
    <w:name w:val="No Spacing"/>
    <w:uiPriority w:val="1"/>
    <w:qFormat/>
    <w:rsid w:val="007C7784"/>
    <w:rPr>
      <w:rFonts w:ascii="Lato" w:hAnsi="La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f1acef0-744d-4246-9640-1b1641e99d0a">Templates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80A8767A4CA49A3747FBE42D6EA6A" ma:contentTypeVersion="1" ma:contentTypeDescription="Create a new document." ma:contentTypeScope="" ma:versionID="a7ce0122461abfe0a428ae502a446990">
  <xsd:schema xmlns:xsd="http://www.w3.org/2001/XMLSchema" xmlns:xs="http://www.w3.org/2001/XMLSchema" xmlns:p="http://schemas.microsoft.com/office/2006/metadata/properties" xmlns:ns2="3f1acef0-744d-4246-9640-1b1641e99d0a" targetNamespace="http://schemas.microsoft.com/office/2006/metadata/properties" ma:root="true" ma:fieldsID="636337c2421304e4d3944e8bc39badbc" ns2:_="">
    <xsd:import namespace="3f1acef0-744d-4246-9640-1b1641e99d0a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cef0-744d-4246-9640-1b1641e99d0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GLS Document Type" ma:description="List of available Document Types" ma:format="Dropdown" ma:internalName="Document_x0020_Type">
      <xsd:simpleType>
        <xsd:restriction base="dms:Choice">
          <xsd:enumeration value="Forms"/>
          <xsd:enumeration value="Guidelines"/>
          <xsd:enumeration value="Information Sheets"/>
          <xsd:enumeration value="Procedures"/>
          <xsd:enumeration value="Templates"/>
          <xsd:enumeration value="Policie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DCD-E20B-418B-B402-80B3B470B33B}">
  <ds:schemaRefs>
    <ds:schemaRef ds:uri="http://schemas.microsoft.com/office/2006/metadata/properties"/>
    <ds:schemaRef ds:uri="http://schemas.microsoft.com/office/infopath/2007/PartnerControls"/>
    <ds:schemaRef ds:uri="3f1acef0-744d-4246-9640-1b1641e99d0a"/>
  </ds:schemaRefs>
</ds:datastoreItem>
</file>

<file path=customXml/itemProps2.xml><?xml version="1.0" encoding="utf-8"?>
<ds:datastoreItem xmlns:ds="http://schemas.openxmlformats.org/officeDocument/2006/customXml" ds:itemID="{10F4066F-EEF1-4CBA-AF3C-B1DB09BB5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E6968-EFB7-4DAC-B5AD-1ECB5F39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cef0-744d-4246-9640-1b1641e9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97BD-76C7-4B8E-84C3-B09AE59A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Director-General Decision Notice Template</vt:lpstr>
    </vt:vector>
  </TitlesOfParts>
  <Company>NTG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Director-General Decision Notice Template</dc:title>
  <dc:creator>Mark Wood</dc:creator>
  <cp:lastModifiedBy>Judith Boiteau</cp:lastModifiedBy>
  <cp:revision>6</cp:revision>
  <cp:lastPrinted>2017-04-11T00:38:00Z</cp:lastPrinted>
  <dcterms:created xsi:type="dcterms:W3CDTF">2017-04-11T00:27:00Z</dcterms:created>
  <dcterms:modified xsi:type="dcterms:W3CDTF">2017-04-11T01:30:00Z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 Link">
    <vt:lpwstr>http://sharepoint.agd.nt.gov.au/_layouts/WordViewer.aspx?id=/FormServerTemplates/Media%20and%20Communications%20Hub/Executive%20Memorandum%20Template.dotx&amp;OpenIn=browser, http://sharepoint.agd.nt.gov.au/_layouts/WordViewer.aspx?id=/FormServerTemplates/Med</vt:lpwstr>
  </property>
  <property fmtid="{D5CDD505-2E9C-101B-9397-08002B2CF9AE}" pid="3" name="WorkflowChangePath">
    <vt:lpwstr>ef0a4210-0e89-4481-821e-e417017bc26d,6;ef0a4210-0e89-4481-821e-e417017bc26d,10;</vt:lpwstr>
  </property>
  <property fmtid="{D5CDD505-2E9C-101B-9397-08002B2CF9AE}" pid="4" name="ContentTypeId">
    <vt:lpwstr>0x01010088580A8767A4CA49A3747FBE42D6EA6A</vt:lpwstr>
  </property>
</Properties>
</file>