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E9" w:rsidRDefault="00380EBF" w:rsidP="00E45D94">
      <w:pPr>
        <w:pStyle w:val="Heading1"/>
      </w:pPr>
      <w:r>
        <w:t>Part 1</w:t>
      </w:r>
    </w:p>
    <w:p w:rsidR="00380EBF" w:rsidRDefault="00380EBF" w:rsidP="00E45D94">
      <w:pPr>
        <w:pStyle w:val="Heading2"/>
      </w:pPr>
      <w:r>
        <w:t>Description of the Restricted Area</w:t>
      </w:r>
    </w:p>
    <w:p w:rsidR="00380EBF" w:rsidRDefault="00380EBF" w:rsidP="00380EBF">
      <w:r>
        <w:t>All those parcels of land at or near Groote Eylandt in the Northern Territory bounded by lines between the points described as follows:</w:t>
      </w:r>
    </w:p>
    <w:p w:rsidR="00380EBF" w:rsidRDefault="00380EBF" w:rsidP="00380EBF">
      <w:r>
        <w:t xml:space="preserve">Commencing at the intersection of the parallel of south latitude 13 degrees 30 minutes and the meridian of east longitude 137 degrees; then south by that longitude to its intersection with the parallel of south latitude 14 degrees 30 minutes; then west by that latitude to its intersection with the meridian of east longitude 136 degrees 20 minutes 20 seconds; then </w:t>
      </w:r>
      <w:proofErr w:type="spellStart"/>
      <w:r>
        <w:t>northwesterly</w:t>
      </w:r>
      <w:proofErr w:type="spellEnd"/>
      <w:r>
        <w:t xml:space="preserve"> by a line to the intersection of the meridian of east longitude 136 degrees 3 minutes and the parallel of south latitude 13 degrees 47 minutes 20 seconds; then </w:t>
      </w:r>
      <w:proofErr w:type="spellStart"/>
      <w:r>
        <w:t>northeasterly</w:t>
      </w:r>
      <w:proofErr w:type="spellEnd"/>
      <w:r>
        <w:t xml:space="preserve"> by a line to the intersection of the meridian of east longitude 136 degrees 15 minutes and the parallel of south latitude 13 degrees 30 minutes; then east by that latitude to the point of commencement.</w:t>
      </w:r>
    </w:p>
    <w:p w:rsidR="00380EBF" w:rsidRDefault="00380EBF" w:rsidP="00E45D94">
      <w:pPr>
        <w:pStyle w:val="Heading1"/>
      </w:pPr>
      <w:r>
        <w:t>Part 2</w:t>
      </w:r>
    </w:p>
    <w:p w:rsidR="00380EBF" w:rsidRDefault="00380EBF" w:rsidP="00E45D94">
      <w:pPr>
        <w:pStyle w:val="Heading2"/>
      </w:pPr>
      <w:r>
        <w:t>Areas Excluded from the Restricted Area</w:t>
      </w:r>
    </w:p>
    <w:p w:rsidR="00380EBF" w:rsidRDefault="00A301D8" w:rsidP="00A301D8">
      <w:pPr>
        <w:pStyle w:val="ListParagraph"/>
        <w:numPr>
          <w:ilvl w:val="0"/>
          <w:numId w:val="40"/>
        </w:numPr>
      </w:pPr>
      <w:r>
        <w:t>The licensed premises of the Alyangula Recreation Club.</w:t>
      </w:r>
    </w:p>
    <w:p w:rsidR="00A301D8" w:rsidRDefault="00A301D8" w:rsidP="00A301D8">
      <w:pPr>
        <w:pStyle w:val="ListParagraph"/>
        <w:numPr>
          <w:ilvl w:val="0"/>
          <w:numId w:val="40"/>
        </w:numPr>
      </w:pPr>
      <w:r>
        <w:t>The licensed premises of the Alyangula Golf Club.</w:t>
      </w:r>
    </w:p>
    <w:p w:rsidR="00A301D8" w:rsidRDefault="00A301D8" w:rsidP="00A301D8">
      <w:pPr>
        <w:pStyle w:val="ListParagraph"/>
        <w:numPr>
          <w:ilvl w:val="0"/>
          <w:numId w:val="40"/>
        </w:numPr>
      </w:pPr>
      <w:r>
        <w:t>The licensed premises of the Alyangula Police Social Club.</w:t>
      </w:r>
    </w:p>
    <w:p w:rsidR="00A301D8" w:rsidRDefault="00A301D8" w:rsidP="00A301D8">
      <w:pPr>
        <w:pStyle w:val="ListParagraph"/>
        <w:numPr>
          <w:ilvl w:val="0"/>
          <w:numId w:val="40"/>
        </w:numPr>
      </w:pPr>
      <w:r>
        <w:t>The Dugong Beach Resort, which is all the parcel of land bounded by straight lines connecting the following GPS coordinates:</w:t>
      </w:r>
    </w:p>
    <w:p w:rsidR="00A301D8" w:rsidRDefault="00A301D8" w:rsidP="00A301D8">
      <w:pPr>
        <w:pStyle w:val="NoSpacing"/>
        <w:ind w:left="709"/>
      </w:pPr>
      <w:r>
        <w:t>N 8,469,381</w:t>
      </w:r>
    </w:p>
    <w:p w:rsidR="00A301D8" w:rsidRDefault="00A301D8" w:rsidP="00A301D8">
      <w:pPr>
        <w:pStyle w:val="NoSpacing"/>
        <w:ind w:left="709"/>
      </w:pPr>
      <w:r>
        <w:t>E 652,259</w:t>
      </w:r>
    </w:p>
    <w:p w:rsidR="00A301D8" w:rsidRDefault="00A301D8" w:rsidP="00A301D8">
      <w:pPr>
        <w:pStyle w:val="NoSpacing"/>
        <w:ind w:left="709"/>
      </w:pPr>
    </w:p>
    <w:p w:rsidR="00A301D8" w:rsidRDefault="00A301D8" w:rsidP="00A301D8">
      <w:pPr>
        <w:pStyle w:val="NoSpacing"/>
        <w:ind w:left="709"/>
      </w:pPr>
      <w:r>
        <w:t>N 8,469,637</w:t>
      </w:r>
    </w:p>
    <w:p w:rsidR="00A301D8" w:rsidRDefault="00A301D8" w:rsidP="00A301D8">
      <w:pPr>
        <w:pStyle w:val="NoSpacing"/>
        <w:ind w:left="709"/>
      </w:pPr>
      <w:r>
        <w:t>E 652,350</w:t>
      </w:r>
    </w:p>
    <w:p w:rsidR="00A301D8" w:rsidRDefault="00A301D8" w:rsidP="00A301D8">
      <w:pPr>
        <w:pStyle w:val="NoSpacing"/>
        <w:ind w:left="709"/>
      </w:pPr>
    </w:p>
    <w:p w:rsidR="00A301D8" w:rsidRDefault="00A301D8" w:rsidP="00A301D8">
      <w:pPr>
        <w:pStyle w:val="NoSpacing"/>
        <w:ind w:left="709"/>
      </w:pPr>
      <w:r>
        <w:t>N 8,469,626</w:t>
      </w:r>
    </w:p>
    <w:p w:rsidR="00A301D8" w:rsidRDefault="00A301D8" w:rsidP="00A301D8">
      <w:pPr>
        <w:pStyle w:val="NoSpacing"/>
        <w:ind w:left="709"/>
      </w:pPr>
      <w:r>
        <w:t>E 652,428</w:t>
      </w:r>
    </w:p>
    <w:p w:rsidR="00A301D8" w:rsidRDefault="00A301D8" w:rsidP="00A301D8">
      <w:pPr>
        <w:pStyle w:val="NoSpacing"/>
        <w:ind w:left="709"/>
      </w:pPr>
    </w:p>
    <w:p w:rsidR="00A301D8" w:rsidRDefault="00A301D8" w:rsidP="00A301D8">
      <w:pPr>
        <w:pStyle w:val="NoSpacing"/>
        <w:ind w:left="709"/>
      </w:pPr>
      <w:r>
        <w:t>N 8,469,342</w:t>
      </w:r>
    </w:p>
    <w:p w:rsidR="00A301D8" w:rsidRDefault="00A301D8" w:rsidP="00A301D8">
      <w:pPr>
        <w:pStyle w:val="NoSpacing"/>
        <w:ind w:left="709"/>
      </w:pPr>
      <w:r>
        <w:t>E 652,348</w:t>
      </w:r>
    </w:p>
    <w:p w:rsidR="00E45D94" w:rsidRDefault="00E45D94" w:rsidP="00A301D8">
      <w:pPr>
        <w:pStyle w:val="NoSpacing"/>
        <w:ind w:left="709"/>
      </w:pPr>
    </w:p>
    <w:p w:rsidR="00E45D94" w:rsidRDefault="00E45D94" w:rsidP="00A301D8">
      <w:pPr>
        <w:pStyle w:val="NoSpacing"/>
        <w:ind w:left="709"/>
        <w:sectPr w:rsidR="00E45D94" w:rsidSect="00CC333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2" w:right="1134" w:bottom="907" w:left="1134" w:header="567" w:footer="737" w:gutter="0"/>
          <w:cols w:space="708"/>
          <w:titlePg/>
          <w:docGrid w:linePitch="360"/>
        </w:sectPr>
      </w:pPr>
    </w:p>
    <w:p w:rsidR="00E82B80" w:rsidRDefault="00E82B80" w:rsidP="00E45D94">
      <w:pPr>
        <w:pStyle w:val="Heading1"/>
        <w:rPr>
          <w:i/>
        </w:rPr>
      </w:pPr>
      <w:r>
        <w:lastRenderedPageBreak/>
        <w:t xml:space="preserve">Section 75 of the </w:t>
      </w:r>
      <w:r>
        <w:rPr>
          <w:i/>
        </w:rPr>
        <w:t>Liquor Act</w:t>
      </w:r>
    </w:p>
    <w:p w:rsidR="00E82B80" w:rsidRDefault="00E82B80" w:rsidP="00E82B80">
      <w:r>
        <w:t>75 Prohibitions for restricted areas</w:t>
      </w:r>
    </w:p>
    <w:p w:rsidR="00E82B80" w:rsidRDefault="00E82B80" w:rsidP="00E82B80">
      <w:pPr>
        <w:pStyle w:val="ListParagraph"/>
        <w:numPr>
          <w:ilvl w:val="0"/>
          <w:numId w:val="41"/>
        </w:numPr>
      </w:pPr>
      <w:r>
        <w:t>Subject to the Part, a person shall not-</w:t>
      </w:r>
    </w:p>
    <w:p w:rsidR="00E82B80" w:rsidRDefault="00E82B80" w:rsidP="00E82B80">
      <w:pPr>
        <w:pStyle w:val="ListParagraph"/>
        <w:numPr>
          <w:ilvl w:val="0"/>
          <w:numId w:val="42"/>
        </w:numPr>
      </w:pPr>
      <w:r>
        <w:t>Bring liquor into;</w:t>
      </w:r>
    </w:p>
    <w:p w:rsidR="00E82B80" w:rsidRDefault="00E82B80" w:rsidP="00E82B80">
      <w:pPr>
        <w:pStyle w:val="ListParagraph"/>
        <w:numPr>
          <w:ilvl w:val="0"/>
          <w:numId w:val="42"/>
        </w:numPr>
      </w:pPr>
      <w:r>
        <w:t>Have liquor in his possession or under his control within; or</w:t>
      </w:r>
    </w:p>
    <w:p w:rsidR="00E82B80" w:rsidRDefault="00E82B80" w:rsidP="00E82B80">
      <w:pPr>
        <w:pStyle w:val="ListParagraph"/>
        <w:numPr>
          <w:ilvl w:val="0"/>
          <w:numId w:val="42"/>
        </w:numPr>
      </w:pPr>
      <w:r>
        <w:t>Consume, sell or otherwise dispose of liquor within,</w:t>
      </w:r>
    </w:p>
    <w:p w:rsidR="00E82B80" w:rsidRDefault="00E45D94" w:rsidP="00E45D94">
      <w:pPr>
        <w:pStyle w:val="ListParagraph"/>
      </w:pPr>
      <w:proofErr w:type="gramStart"/>
      <w:r>
        <w:t>a</w:t>
      </w:r>
      <w:proofErr w:type="gramEnd"/>
      <w:r w:rsidR="00E82B80">
        <w:t xml:space="preserve"> general restricted area.</w:t>
      </w:r>
    </w:p>
    <w:p w:rsidR="00E82B80" w:rsidRDefault="00E82B80" w:rsidP="00E45D94">
      <w:pPr>
        <w:ind w:left="709" w:hanging="283"/>
      </w:pPr>
      <w:r>
        <w:t>(1A) Subsection (1), other than paragraph (c) so far as it relates to the sale of liquor in a general restricted area, does not apply to liquor that is being or will be-</w:t>
      </w:r>
    </w:p>
    <w:p w:rsidR="00E82B80" w:rsidRDefault="00E82B80" w:rsidP="00E82B80">
      <w:pPr>
        <w:pStyle w:val="ListParagraph"/>
        <w:numPr>
          <w:ilvl w:val="0"/>
          <w:numId w:val="43"/>
        </w:numPr>
      </w:pPr>
      <w:r>
        <w:t>Brought into a general restricted area; and</w:t>
      </w:r>
    </w:p>
    <w:p w:rsidR="00E82B80" w:rsidRDefault="00E82B80" w:rsidP="00E82B80">
      <w:pPr>
        <w:pStyle w:val="ListParagraph"/>
        <w:numPr>
          <w:ilvl w:val="0"/>
          <w:numId w:val="43"/>
        </w:numPr>
      </w:pPr>
      <w:r>
        <w:t>Administered within a general restricted area,</w:t>
      </w:r>
    </w:p>
    <w:p w:rsidR="00E82B80" w:rsidRDefault="00E45D94" w:rsidP="00E82B80">
      <w:pPr>
        <w:pStyle w:val="ListParagraph"/>
      </w:pPr>
      <w:proofErr w:type="gramStart"/>
      <w:r>
        <w:t>f</w:t>
      </w:r>
      <w:r w:rsidR="00E82B80">
        <w:t>or</w:t>
      </w:r>
      <w:proofErr w:type="gramEnd"/>
      <w:r w:rsidR="00E82B80">
        <w:t xml:space="preserve"> the purposes of worship associated with the celebration of the Holy Communion or any other religious service by a person approved by the Commission (for the purposes of paragraph (a) or (b) or both of (a) and (b)).</w:t>
      </w:r>
    </w:p>
    <w:p w:rsidR="00E82B80" w:rsidRDefault="00E82B80" w:rsidP="00E45D94">
      <w:pPr>
        <w:ind w:left="709" w:hanging="283"/>
      </w:pPr>
      <w:r>
        <w:t xml:space="preserve">(1B) </w:t>
      </w:r>
      <w:proofErr w:type="gramStart"/>
      <w:r>
        <w:t>A</w:t>
      </w:r>
      <w:proofErr w:type="gramEnd"/>
      <w:r>
        <w:t xml:space="preserve"> person is guilty of an offence if the person consumes liquor within a public restricted area.</w:t>
      </w:r>
    </w:p>
    <w:p w:rsidR="00E82B80" w:rsidRDefault="00E82B80" w:rsidP="00E45D94">
      <w:pPr>
        <w:ind w:left="709"/>
      </w:pPr>
      <w:r>
        <w:t>Maximum penalty for an offence against subsection (1B): $500.</w:t>
      </w:r>
    </w:p>
    <w:p w:rsidR="00E82B80" w:rsidRDefault="00E82B80" w:rsidP="00E82B80">
      <w:pPr>
        <w:ind w:left="426"/>
      </w:pPr>
      <w:bookmarkStart w:id="0" w:name="_GoBack"/>
      <w:r>
        <w:t>(1C) Subsection (1B) does not apply if the liquor is consumed:</w:t>
      </w:r>
    </w:p>
    <w:bookmarkEnd w:id="0"/>
    <w:p w:rsidR="00E82B80" w:rsidRDefault="00E82B80" w:rsidP="00E82B80">
      <w:pPr>
        <w:pStyle w:val="ListParagraph"/>
        <w:numPr>
          <w:ilvl w:val="0"/>
          <w:numId w:val="44"/>
        </w:numPr>
      </w:pPr>
      <w:r>
        <w:t xml:space="preserve"> In accordance with a permit granted under section 89A; or</w:t>
      </w:r>
    </w:p>
    <w:p w:rsidR="00E82B80" w:rsidRDefault="00E82B80" w:rsidP="00E82B80">
      <w:pPr>
        <w:pStyle w:val="ListParagraph"/>
        <w:numPr>
          <w:ilvl w:val="0"/>
          <w:numId w:val="44"/>
        </w:numPr>
      </w:pPr>
      <w:r>
        <w:t>For the purposes of worship associated with the celebration of the Holy Communion.</w:t>
      </w:r>
    </w:p>
    <w:p w:rsidR="00E82B80" w:rsidRPr="00E82B80" w:rsidRDefault="00E82B80" w:rsidP="00E82B80">
      <w:pPr>
        <w:pStyle w:val="ListParagraph"/>
        <w:numPr>
          <w:ilvl w:val="0"/>
          <w:numId w:val="41"/>
        </w:numPr>
      </w:pPr>
      <w:r>
        <w:t>In any proceeding for an offence against this section, a certificate, purporting to be signed by a person who claims in the certificate to be the Director or a Deputy Director, stating that a place was or was not, at a specified time, within a restricted area is evidence of the facts stated.</w:t>
      </w:r>
    </w:p>
    <w:sectPr w:rsidR="00E82B80" w:rsidRPr="00E82B80" w:rsidSect="00CC3330">
      <w:headerReference w:type="first" r:id="rId12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7E3EF4" w:rsidRDefault="00E45D94" w:rsidP="00E45D94">
    <w:pPr>
      <w:pStyle w:val="Title"/>
    </w:pPr>
    <w:r>
      <w:t>Schedule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94" w:rsidRPr="007E3EF4" w:rsidRDefault="00E45D94" w:rsidP="00E45D94">
    <w:pPr>
      <w:pStyle w:val="Title"/>
    </w:pPr>
    <w:r>
      <w:t>Schedule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4BC1"/>
    <w:multiLevelType w:val="hybridMultilevel"/>
    <w:tmpl w:val="0E646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F7E65"/>
    <w:multiLevelType w:val="hybridMultilevel"/>
    <w:tmpl w:val="AAE46E00"/>
    <w:lvl w:ilvl="0" w:tplc="603C450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E63C7B"/>
    <w:multiLevelType w:val="hybridMultilevel"/>
    <w:tmpl w:val="CF50AE1C"/>
    <w:lvl w:ilvl="0" w:tplc="F588E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9696993"/>
    <w:multiLevelType w:val="hybridMultilevel"/>
    <w:tmpl w:val="E0CCA440"/>
    <w:lvl w:ilvl="0" w:tplc="2B6E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6D098B"/>
    <w:multiLevelType w:val="hybridMultilevel"/>
    <w:tmpl w:val="4648BFAC"/>
    <w:lvl w:ilvl="0" w:tplc="C5B6765C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"/>
  </w:num>
  <w:num w:numId="6">
    <w:abstractNumId w:val="9"/>
  </w:num>
  <w:num w:numId="7">
    <w:abstractNumId w:val="31"/>
  </w:num>
  <w:num w:numId="8">
    <w:abstractNumId w:val="36"/>
  </w:num>
  <w:num w:numId="9">
    <w:abstractNumId w:val="39"/>
  </w:num>
  <w:num w:numId="10">
    <w:abstractNumId w:val="38"/>
  </w:num>
  <w:num w:numId="11">
    <w:abstractNumId w:val="32"/>
  </w:num>
  <w:num w:numId="12">
    <w:abstractNumId w:val="40"/>
  </w:num>
  <w:num w:numId="13">
    <w:abstractNumId w:val="0"/>
  </w:num>
  <w:num w:numId="14">
    <w:abstractNumId w:val="35"/>
  </w:num>
  <w:num w:numId="15">
    <w:abstractNumId w:val="19"/>
  </w:num>
  <w:num w:numId="16">
    <w:abstractNumId w:val="23"/>
  </w:num>
  <w:num w:numId="17">
    <w:abstractNumId w:val="12"/>
  </w:num>
  <w:num w:numId="18">
    <w:abstractNumId w:val="27"/>
  </w:num>
  <w:num w:numId="19">
    <w:abstractNumId w:val="4"/>
  </w:num>
  <w:num w:numId="20">
    <w:abstractNumId w:val="21"/>
  </w:num>
  <w:num w:numId="21">
    <w:abstractNumId w:val="25"/>
  </w:num>
  <w:num w:numId="22">
    <w:abstractNumId w:val="34"/>
  </w:num>
  <w:num w:numId="23">
    <w:abstractNumId w:val="33"/>
  </w:num>
  <w:num w:numId="24">
    <w:abstractNumId w:val="15"/>
  </w:num>
  <w:num w:numId="25">
    <w:abstractNumId w:val="11"/>
  </w:num>
  <w:num w:numId="26">
    <w:abstractNumId w:val="37"/>
  </w:num>
  <w:num w:numId="27">
    <w:abstractNumId w:val="10"/>
  </w:num>
  <w:num w:numId="28">
    <w:abstractNumId w:val="22"/>
  </w:num>
  <w:num w:numId="29">
    <w:abstractNumId w:val="14"/>
  </w:num>
  <w:num w:numId="30">
    <w:abstractNumId w:val="28"/>
  </w:num>
  <w:num w:numId="31">
    <w:abstractNumId w:val="24"/>
  </w:num>
  <w:num w:numId="32">
    <w:abstractNumId w:val="3"/>
  </w:num>
  <w:num w:numId="33">
    <w:abstractNumId w:val="30"/>
  </w:num>
  <w:num w:numId="34">
    <w:abstractNumId w:val="13"/>
  </w:num>
  <w:num w:numId="35">
    <w:abstractNumId w:val="7"/>
  </w:num>
  <w:num w:numId="36">
    <w:abstractNumId w:val="20"/>
  </w:num>
  <w:num w:numId="37">
    <w:abstractNumId w:val="17"/>
  </w:num>
  <w:num w:numId="38">
    <w:abstractNumId w:val="8"/>
  </w:num>
  <w:num w:numId="39">
    <w:abstractNumId w:val="29"/>
  </w:num>
  <w:num w:numId="40">
    <w:abstractNumId w:val="2"/>
  </w:num>
  <w:num w:numId="41">
    <w:abstractNumId w:val="6"/>
  </w:num>
  <w:num w:numId="42">
    <w:abstractNumId w:val="18"/>
  </w:num>
  <w:num w:numId="43">
    <w:abstractNumId w:val="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93A72"/>
    <w:rsid w:val="002A548A"/>
    <w:rsid w:val="002B0122"/>
    <w:rsid w:val="002B245E"/>
    <w:rsid w:val="002F2885"/>
    <w:rsid w:val="00315827"/>
    <w:rsid w:val="00342283"/>
    <w:rsid w:val="00347B47"/>
    <w:rsid w:val="00380EBF"/>
    <w:rsid w:val="00394AAF"/>
    <w:rsid w:val="003A21D9"/>
    <w:rsid w:val="0040222A"/>
    <w:rsid w:val="004047BC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D7966"/>
    <w:rsid w:val="007E3EF4"/>
    <w:rsid w:val="008313C4"/>
    <w:rsid w:val="00861DC3"/>
    <w:rsid w:val="00876053"/>
    <w:rsid w:val="00930D60"/>
    <w:rsid w:val="00936A77"/>
    <w:rsid w:val="009437FB"/>
    <w:rsid w:val="009616DF"/>
    <w:rsid w:val="009D65D7"/>
    <w:rsid w:val="00A301D8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45D94"/>
    <w:rsid w:val="00E57073"/>
    <w:rsid w:val="00E823AF"/>
    <w:rsid w:val="00E82B80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5D94"/>
    <w:pPr>
      <w:keepNext/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45D94"/>
    <w:pPr>
      <w:keepNext/>
      <w:spacing w:before="360" w:after="12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E45D9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45D94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5D94"/>
    <w:pPr>
      <w:keepNext/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45D94"/>
    <w:pPr>
      <w:keepNext/>
      <w:spacing w:before="360" w:after="12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E45D9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45D94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2008-01-21T14:30:00+00:00</Hearing_x0020_Date>
    <Decision_x0020_Category xmlns="28e3188d-fccf-4e87-a6b6-2e446be4517c">Liquor</Decision_x0020_Category>
    <_dlc_DocId xmlns="28e3188d-fccf-4e87-a6b6-2e446be4517c">2AXQX2YYQNYC-455-306</_dlc_DocId>
    <_dlc_DocIdUrl xmlns="28e3188d-fccf-4e87-a6b6-2e446be4517c">
      <Url>http://www.dob.nt.gov.au/gambling-licensing/decisions/hearings-decisions/_layouts/DocIdRedir.aspx?ID=2AXQX2YYQNYC-455-306</Url>
      <Description>2AXQX2YYQNYC-455-306</Description>
    </_dlc_DocIdUrl>
  </documentManagement>
</p:properties>
</file>

<file path=customXml/itemProps1.xml><?xml version="1.0" encoding="utf-8"?>
<ds:datastoreItem xmlns:ds="http://schemas.openxmlformats.org/officeDocument/2006/customXml" ds:itemID="{5EFF4037-81C7-4996-ACBD-6DE513190ED5}"/>
</file>

<file path=customXml/itemProps2.xml><?xml version="1.0" encoding="utf-8"?>
<ds:datastoreItem xmlns:ds="http://schemas.openxmlformats.org/officeDocument/2006/customXml" ds:itemID="{325B6436-10AD-44BE-B6F7-FFEBE3A26154}"/>
</file>

<file path=customXml/itemProps3.xml><?xml version="1.0" encoding="utf-8"?>
<ds:datastoreItem xmlns:ds="http://schemas.openxmlformats.org/officeDocument/2006/customXml" ds:itemID="{7115AA52-1300-43E0-9A96-BEDD228BEF94}"/>
</file>

<file path=customXml/itemProps4.xml><?xml version="1.0" encoding="utf-8"?>
<ds:datastoreItem xmlns:ds="http://schemas.openxmlformats.org/officeDocument/2006/customXml" ds:itemID="{0F84C606-97CB-45AE-8E83-4A14D0B57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Dugong Beach Resort 26 VIII Attachment A</dc:title>
  <dc:subject/>
  <dc:creator>Madeline Cvirn</dc:creator>
  <cp:keywords/>
  <dc:description/>
  <cp:lastModifiedBy>Marlene Woods</cp:lastModifiedBy>
  <cp:revision>16</cp:revision>
  <dcterms:created xsi:type="dcterms:W3CDTF">2013-01-07T22:55:00Z</dcterms:created>
  <dcterms:modified xsi:type="dcterms:W3CDTF">2013-01-25T07:00:00Z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bc2a2d54-69eb-4a82-a51d-3ee62fe56585</vt:lpwstr>
  </property>
</Properties>
</file>