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CB59F7" w:rsidRDefault="004F7026" w:rsidP="004C32D1">
      <w:pPr>
        <w:ind w:left="-142"/>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Pr>
          <w:sz w:val="20"/>
          <w:szCs w:val="20"/>
          <w:lang w:eastAsia="en-AU"/>
        </w:rPr>
        <w:t xml:space="preserve">There were positive signs in the Territory labour market in October 2020, with stronger part-time employment growth and more Territorians actively pursuing employment, resulting in a higher participation rate. Increased job vacancies suggests further employment growth in the short term. Monthly data remains volatile and should be interpreted with caution.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0816F4" w:rsidP="00A450E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B57D42">
              <w:rPr>
                <w:rFonts w:eastAsia="Calibri" w:cs="Times New Roman"/>
                <w:sz w:val="16"/>
                <w:szCs w:val="16"/>
                <w:lang w:eastAsia="en-AU" w:bidi="ar-SA"/>
              </w:rPr>
              <w:t xml:space="preserve"> </w:t>
            </w:r>
            <w:r>
              <w:rPr>
                <w:rFonts w:eastAsia="Calibri" w:cs="Times New Roman"/>
                <w:sz w:val="16"/>
                <w:szCs w:val="16"/>
                <w:lang w:eastAsia="en-AU" w:bidi="ar-SA"/>
              </w:rPr>
              <w:t>2.4</w:t>
            </w:r>
            <w:r w:rsidR="00AD5B6C" w:rsidRPr="00CB59F7">
              <w:rPr>
                <w:rFonts w:eastAsia="Calibri" w:cs="Times New Roman"/>
                <w:sz w:val="16"/>
                <w:szCs w:val="16"/>
                <w:lang w:eastAsia="en-AU" w:bidi="ar-SA"/>
              </w:rPr>
              <w:t>%</w:t>
            </w:r>
          </w:p>
        </w:tc>
        <w:tc>
          <w:tcPr>
            <w:tcW w:w="1356" w:type="dxa"/>
          </w:tcPr>
          <w:p w:rsidR="00DC76E1" w:rsidRPr="00CB59F7" w:rsidRDefault="002F3953" w:rsidP="00A450E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E63C17">
              <w:rPr>
                <w:rFonts w:eastAsia="Calibri" w:cs="Times New Roman"/>
                <w:sz w:val="16"/>
                <w:szCs w:val="16"/>
                <w:lang w:eastAsia="en-AU" w:bidi="ar-SA"/>
              </w:rPr>
              <w:t>2</w:t>
            </w:r>
            <w:r w:rsidR="000816F4">
              <w:rPr>
                <w:rFonts w:eastAsia="Calibri" w:cs="Times New Roman"/>
                <w:sz w:val="16"/>
                <w:szCs w:val="16"/>
                <w:lang w:eastAsia="en-AU" w:bidi="ar-SA"/>
              </w:rPr>
              <w:t>9 190</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0816F4"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351BA5">
              <w:rPr>
                <w:rFonts w:eastAsia="Calibri" w:cs="Times New Roman"/>
                <w:sz w:val="16"/>
                <w:szCs w:val="16"/>
                <w:lang w:eastAsia="en-AU" w:bidi="ar-SA"/>
              </w:rPr>
              <w:t xml:space="preserve"> </w:t>
            </w:r>
            <w:r>
              <w:rPr>
                <w:rFonts w:eastAsia="Calibri" w:cs="Times New Roman"/>
                <w:sz w:val="16"/>
                <w:szCs w:val="16"/>
                <w:lang w:eastAsia="en-AU" w:bidi="ar-SA"/>
              </w:rPr>
              <w:t>1.4</w:t>
            </w:r>
            <w:r w:rsidR="00AD5B6C" w:rsidRPr="00CB59F7">
              <w:rPr>
                <w:rFonts w:eastAsia="Calibri" w:cs="Times New Roman"/>
                <w:sz w:val="16"/>
                <w:szCs w:val="16"/>
                <w:lang w:eastAsia="en-AU" w:bidi="ar-SA"/>
              </w:rPr>
              <w:t>%</w:t>
            </w:r>
          </w:p>
        </w:tc>
        <w:tc>
          <w:tcPr>
            <w:tcW w:w="1356" w:type="dxa"/>
          </w:tcPr>
          <w:p w:rsidR="00AD5B6C" w:rsidRPr="004B7877" w:rsidRDefault="000816F4" w:rsidP="00717DE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12 773 890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0816F4" w:rsidP="000816F4">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0.4</w:t>
            </w:r>
            <w:r w:rsidR="00AD5B6C" w:rsidRPr="00CB59F7">
              <w:rPr>
                <w:rFonts w:eastAsia="Calibri" w:cs="Times New Roman"/>
                <w:sz w:val="16"/>
                <w:szCs w:val="16"/>
                <w:lang w:eastAsia="en-AU" w:bidi="ar-SA"/>
              </w:rPr>
              <w:t>%</w:t>
            </w:r>
          </w:p>
        </w:tc>
        <w:tc>
          <w:tcPr>
            <w:tcW w:w="1356" w:type="dxa"/>
          </w:tcPr>
          <w:p w:rsidR="00AD5B6C" w:rsidRPr="004B7877" w:rsidRDefault="000816F4" w:rsidP="00A450E9">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96 462</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0816F4"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1.1</w:t>
            </w:r>
            <w:r w:rsidR="00DC76E1" w:rsidRPr="00CB59F7">
              <w:rPr>
                <w:rFonts w:eastAsia="Calibri" w:cs="Times New Roman"/>
                <w:sz w:val="16"/>
                <w:szCs w:val="16"/>
                <w:lang w:eastAsia="en-AU" w:bidi="ar-SA"/>
              </w:rPr>
              <w:t>%</w:t>
            </w:r>
          </w:p>
        </w:tc>
        <w:tc>
          <w:tcPr>
            <w:tcW w:w="1356" w:type="dxa"/>
          </w:tcPr>
          <w:p w:rsidR="00AD5B6C" w:rsidRPr="004B7877" w:rsidRDefault="000816F4"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8 643 731</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0816F4" w:rsidP="000816F4">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8.8</w:t>
            </w:r>
            <w:r w:rsidR="00DF1F7D" w:rsidRPr="00CB59F7">
              <w:rPr>
                <w:rFonts w:eastAsia="Calibri" w:cs="Times New Roman"/>
                <w:sz w:val="16"/>
                <w:szCs w:val="16"/>
                <w:lang w:eastAsia="en-AU" w:bidi="ar-SA"/>
              </w:rPr>
              <w:t>%</w:t>
            </w:r>
          </w:p>
        </w:tc>
        <w:tc>
          <w:tcPr>
            <w:tcW w:w="1356" w:type="dxa"/>
          </w:tcPr>
          <w:p w:rsidR="00AD5B6C" w:rsidRPr="004B7877" w:rsidRDefault="000816F4"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32 729</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0816F4"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2.0</w:t>
            </w:r>
            <w:r w:rsidR="00AD5B6C" w:rsidRPr="00CB59F7">
              <w:rPr>
                <w:rFonts w:eastAsia="Calibri" w:cs="Times New Roman"/>
                <w:sz w:val="16"/>
                <w:szCs w:val="16"/>
                <w:lang w:eastAsia="en-AU" w:bidi="ar-SA"/>
              </w:rPr>
              <w:t>%</w:t>
            </w:r>
          </w:p>
        </w:tc>
        <w:tc>
          <w:tcPr>
            <w:tcW w:w="1356" w:type="dxa"/>
          </w:tcPr>
          <w:p w:rsidR="00AD5B6C" w:rsidRPr="004B7877" w:rsidRDefault="000816F4"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4 130 159</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DC5152">
        <w:rPr>
          <w:sz w:val="18"/>
          <w:szCs w:val="20"/>
          <w:lang w:eastAsia="en-AU"/>
        </w:rPr>
        <w:t>October</w:t>
      </w:r>
      <w:r w:rsidR="00DF135D" w:rsidRPr="00CB59F7">
        <w:rPr>
          <w:sz w:val="20"/>
          <w:szCs w:val="20"/>
          <w:lang w:eastAsia="en-AU"/>
        </w:rPr>
        <w:t xml:space="preserve"> </w:t>
      </w:r>
      <w:r w:rsidR="00A27872" w:rsidRPr="00EE2A94">
        <w:rPr>
          <w:sz w:val="18"/>
          <w:szCs w:val="18"/>
        </w:rPr>
        <w:t>2020</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Pr="008F157C">
        <w:rPr>
          <w:sz w:val="18"/>
          <w:szCs w:val="18"/>
        </w:rPr>
        <w:t xml:space="preserve">were </w:t>
      </w:r>
      <w:r w:rsidR="000816F4">
        <w:rPr>
          <w:rFonts w:eastAsia="Calibri" w:cs="Times New Roman"/>
          <w:sz w:val="18"/>
          <w:szCs w:val="18"/>
          <w:lang w:eastAsia="en-AU" w:bidi="ar-SA"/>
        </w:rPr>
        <w:t>129 190</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0816F4">
        <w:rPr>
          <w:sz w:val="18"/>
          <w:szCs w:val="18"/>
        </w:rPr>
        <w:t>n in</w:t>
      </w:r>
      <w:r w:rsidR="00DF1F7D" w:rsidRPr="00CB59F7">
        <w:rPr>
          <w:sz w:val="18"/>
          <w:szCs w:val="18"/>
        </w:rPr>
        <w:t xml:space="preserve">crease of </w:t>
      </w:r>
      <w:r w:rsidR="000816F4">
        <w:rPr>
          <w:sz w:val="18"/>
          <w:szCs w:val="18"/>
        </w:rPr>
        <w:t>3046</w:t>
      </w:r>
      <w:r w:rsidR="00DF1F7D" w:rsidRPr="00CB59F7">
        <w:rPr>
          <w:sz w:val="18"/>
          <w:szCs w:val="18"/>
        </w:rPr>
        <w:t xml:space="preserve"> </w:t>
      </w:r>
      <w:r w:rsidRPr="00CB59F7">
        <w:rPr>
          <w:sz w:val="18"/>
          <w:szCs w:val="18"/>
        </w:rPr>
        <w:t>persons</w:t>
      </w:r>
      <w:r w:rsidR="00767908">
        <w:rPr>
          <w:sz w:val="18"/>
          <w:szCs w:val="18"/>
        </w:rPr>
        <w:t xml:space="preserve"> (</w:t>
      </w:r>
      <w:r w:rsidR="000816F4">
        <w:rPr>
          <w:sz w:val="18"/>
          <w:szCs w:val="18"/>
        </w:rPr>
        <w:t>2.4</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0816F4">
        <w:rPr>
          <w:sz w:val="18"/>
          <w:szCs w:val="18"/>
        </w:rPr>
        <w:t>in</w:t>
      </w:r>
      <w:r w:rsidRPr="00CB59F7">
        <w:rPr>
          <w:sz w:val="18"/>
          <w:szCs w:val="18"/>
        </w:rPr>
        <w:t xml:space="preserve">creased </w:t>
      </w:r>
      <w:r w:rsidR="00D913FF" w:rsidRPr="00CB59F7">
        <w:rPr>
          <w:sz w:val="18"/>
          <w:szCs w:val="18"/>
        </w:rPr>
        <w:t xml:space="preserve">by </w:t>
      </w:r>
      <w:r w:rsidR="000816F4">
        <w:rPr>
          <w:sz w:val="18"/>
          <w:szCs w:val="18"/>
        </w:rPr>
        <w:t>404</w:t>
      </w:r>
      <w:r w:rsidR="00DC76E1" w:rsidRPr="00CB59F7">
        <w:rPr>
          <w:sz w:val="18"/>
          <w:szCs w:val="18"/>
        </w:rPr>
        <w:t xml:space="preserve"> </w:t>
      </w:r>
      <w:r w:rsidR="006C2623">
        <w:rPr>
          <w:sz w:val="18"/>
          <w:szCs w:val="18"/>
        </w:rPr>
        <w:t>to</w:t>
      </w:r>
      <w:r w:rsidR="00EC7B60">
        <w:rPr>
          <w:rFonts w:cs="Arial"/>
          <w:sz w:val="18"/>
          <w:szCs w:val="18"/>
        </w:rPr>
        <w:t xml:space="preserve"> </w:t>
      </w:r>
      <w:r w:rsidR="00FD1137">
        <w:rPr>
          <w:rFonts w:cs="Arial"/>
          <w:sz w:val="18"/>
          <w:szCs w:val="18"/>
        </w:rPr>
        <w:t>9</w:t>
      </w:r>
      <w:r w:rsidR="000816F4">
        <w:rPr>
          <w:rFonts w:cs="Arial"/>
          <w:sz w:val="18"/>
          <w:szCs w:val="18"/>
        </w:rPr>
        <w:t>6 462</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0816F4">
        <w:rPr>
          <w:sz w:val="18"/>
          <w:szCs w:val="18"/>
        </w:rPr>
        <w:t>in</w:t>
      </w:r>
      <w:r w:rsidR="0014599A">
        <w:rPr>
          <w:sz w:val="18"/>
          <w:szCs w:val="18"/>
        </w:rPr>
        <w:t>c</w:t>
      </w:r>
      <w:r w:rsidR="00A27872" w:rsidRPr="00CB59F7">
        <w:rPr>
          <w:sz w:val="18"/>
          <w:szCs w:val="18"/>
        </w:rPr>
        <w:t>reased by</w:t>
      </w:r>
      <w:r w:rsidR="00D913FF" w:rsidRPr="00CB59F7">
        <w:rPr>
          <w:sz w:val="18"/>
          <w:szCs w:val="18"/>
        </w:rPr>
        <w:t xml:space="preserve"> </w:t>
      </w:r>
      <w:r w:rsidR="000816F4">
        <w:rPr>
          <w:sz w:val="18"/>
          <w:szCs w:val="18"/>
        </w:rPr>
        <w:t>2642</w:t>
      </w:r>
      <w:r w:rsidR="00D913FF" w:rsidRPr="00CB59F7">
        <w:rPr>
          <w:sz w:val="18"/>
          <w:szCs w:val="18"/>
        </w:rPr>
        <w:t xml:space="preserve"> to </w:t>
      </w:r>
      <w:r w:rsidR="000816F4">
        <w:rPr>
          <w:rFonts w:cs="Arial"/>
          <w:sz w:val="18"/>
          <w:szCs w:val="18"/>
        </w:rPr>
        <w:t>32 729</w:t>
      </w:r>
      <w:r w:rsidR="00C61D4B" w:rsidRPr="00CB59F7">
        <w:rPr>
          <w:rFonts w:cs="Arial"/>
          <w:sz w:val="18"/>
          <w:szCs w:val="18"/>
        </w:rPr>
        <w:t xml:space="preserve"> </w:t>
      </w:r>
      <w:r w:rsidRPr="00CB59F7">
        <w:rPr>
          <w:sz w:val="18"/>
          <w:szCs w:val="18"/>
        </w:rPr>
        <w:t>persons.</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EE5157">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EE5157">
        <w:rPr>
          <w:sz w:val="18"/>
          <w:szCs w:val="18"/>
        </w:rPr>
        <w:t>178 824</w:t>
      </w:r>
      <w:r w:rsidR="00525BE1">
        <w:rPr>
          <w:sz w:val="18"/>
          <w:szCs w:val="18"/>
        </w:rPr>
        <w:t xml:space="preserve"> (</w:t>
      </w:r>
      <w:r w:rsidR="00EE5157">
        <w:rPr>
          <w:sz w:val="18"/>
          <w:szCs w:val="18"/>
        </w:rPr>
        <w:t>1.4</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EE5157">
        <w:rPr>
          <w:sz w:val="18"/>
          <w:szCs w:val="18"/>
        </w:rPr>
        <w:t>12 773 890</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EE5157">
        <w:rPr>
          <w:sz w:val="18"/>
          <w:szCs w:val="18"/>
        </w:rPr>
        <w:t>in</w:t>
      </w:r>
      <w:r w:rsidR="00A27872" w:rsidRPr="00CB59F7">
        <w:rPr>
          <w:sz w:val="18"/>
          <w:szCs w:val="18"/>
        </w:rPr>
        <w:t xml:space="preserve">creased by </w:t>
      </w:r>
      <w:r w:rsidR="00EE5157">
        <w:rPr>
          <w:sz w:val="18"/>
          <w:szCs w:val="18"/>
        </w:rPr>
        <w:t>97 044</w:t>
      </w:r>
      <w:r w:rsidR="00A27872" w:rsidRPr="00CB59F7">
        <w:rPr>
          <w:sz w:val="18"/>
          <w:szCs w:val="18"/>
        </w:rPr>
        <w:t xml:space="preserve"> </w:t>
      </w:r>
      <w:r w:rsidR="00A27872" w:rsidRPr="009F2946">
        <w:rPr>
          <w:sz w:val="18"/>
          <w:szCs w:val="18"/>
        </w:rPr>
        <w:t xml:space="preserve">to </w:t>
      </w:r>
      <w:r w:rsidR="00EE5157">
        <w:rPr>
          <w:sz w:val="18"/>
          <w:szCs w:val="18"/>
        </w:rPr>
        <w:t>8 643 731</w:t>
      </w:r>
      <w:r w:rsidR="00DC70C6" w:rsidRPr="009F2946">
        <w:rPr>
          <w:sz w:val="18"/>
          <w:szCs w:val="18"/>
        </w:rPr>
        <w:t xml:space="preserve"> persons and part-t</w:t>
      </w:r>
      <w:r w:rsidR="00EC7B60" w:rsidRPr="009F2946">
        <w:rPr>
          <w:sz w:val="18"/>
          <w:szCs w:val="18"/>
        </w:rPr>
        <w:t xml:space="preserve">ime employment </w:t>
      </w:r>
      <w:r w:rsidR="00EE5157">
        <w:rPr>
          <w:sz w:val="18"/>
          <w:szCs w:val="18"/>
        </w:rPr>
        <w:t>in</w:t>
      </w:r>
      <w:r w:rsidR="00A27872" w:rsidRPr="009F2946">
        <w:rPr>
          <w:sz w:val="18"/>
          <w:szCs w:val="18"/>
        </w:rPr>
        <w:t xml:space="preserve">creased by </w:t>
      </w:r>
      <w:r w:rsidR="00EE5157">
        <w:rPr>
          <w:sz w:val="18"/>
          <w:szCs w:val="18"/>
        </w:rPr>
        <w:t>81 780</w:t>
      </w:r>
      <w:r w:rsidR="00A27872" w:rsidRPr="009F2946">
        <w:rPr>
          <w:sz w:val="18"/>
          <w:szCs w:val="18"/>
        </w:rPr>
        <w:t xml:space="preserve"> to </w:t>
      </w:r>
      <w:r w:rsidR="00EE5157">
        <w:rPr>
          <w:sz w:val="18"/>
          <w:szCs w:val="18"/>
        </w:rPr>
        <w:t>4 130 159</w:t>
      </w:r>
      <w:r w:rsidR="00C61D4B" w:rsidRPr="009F2946">
        <w:rPr>
          <w:sz w:val="18"/>
          <w:szCs w:val="18"/>
        </w:rPr>
        <w:t xml:space="preserve"> </w:t>
      </w:r>
      <w:r w:rsidR="00DC70C6" w:rsidRPr="009F2946">
        <w:rPr>
          <w:sz w:val="18"/>
          <w:szCs w:val="18"/>
        </w:rPr>
        <w:t>persons.</w:t>
      </w:r>
    </w:p>
    <w:p w:rsidR="007B37A6" w:rsidRDefault="00EE2A94" w:rsidP="002301A0">
      <w:pPr>
        <w:pStyle w:val="ListParagraph"/>
        <w:numPr>
          <w:ilvl w:val="0"/>
          <w:numId w:val="2"/>
        </w:numPr>
        <w:autoSpaceDE/>
        <w:autoSpaceDN/>
        <w:spacing w:after="120" w:line="240" w:lineRule="auto"/>
        <w:ind w:left="284" w:hanging="284"/>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EE5157">
        <w:rPr>
          <w:sz w:val="18"/>
          <w:szCs w:val="18"/>
        </w:rPr>
        <w:t>in</w:t>
      </w:r>
      <w:r w:rsidR="005A277B">
        <w:rPr>
          <w:sz w:val="18"/>
          <w:szCs w:val="18"/>
        </w:rPr>
        <w:t xml:space="preserve">creased by </w:t>
      </w:r>
      <w:r w:rsidR="00EE5157">
        <w:rPr>
          <w:sz w:val="18"/>
          <w:szCs w:val="18"/>
        </w:rPr>
        <w:t>1.6</w:t>
      </w:r>
      <w:r w:rsidR="005A277B">
        <w:rPr>
          <w:sz w:val="18"/>
          <w:szCs w:val="18"/>
        </w:rPr>
        <w:t xml:space="preserve"> percentage points</w:t>
      </w:r>
      <w:r>
        <w:rPr>
          <w:sz w:val="18"/>
          <w:szCs w:val="18"/>
        </w:rPr>
        <w:t xml:space="preserve"> </w:t>
      </w:r>
      <w:r w:rsidR="005A277B">
        <w:rPr>
          <w:sz w:val="18"/>
          <w:szCs w:val="18"/>
        </w:rPr>
        <w:t xml:space="preserve">to </w:t>
      </w:r>
      <w:r w:rsidR="00EE5157">
        <w:rPr>
          <w:sz w:val="18"/>
          <w:szCs w:val="18"/>
        </w:rPr>
        <w:t>8.0%, compared to 10</w:t>
      </w:r>
      <w:r w:rsidR="005A277B">
        <w:rPr>
          <w:sz w:val="18"/>
          <w:szCs w:val="18"/>
        </w:rPr>
        <w:t>.</w:t>
      </w:r>
      <w:r w:rsidR="00C836FA">
        <w:rPr>
          <w:sz w:val="18"/>
          <w:szCs w:val="18"/>
        </w:rPr>
        <w:t>4</w:t>
      </w:r>
      <w:r w:rsidR="005A277B">
        <w:rPr>
          <w:sz w:val="18"/>
          <w:szCs w:val="18"/>
        </w:rPr>
        <w:t>% nationally</w:t>
      </w:r>
      <w:r>
        <w:rPr>
          <w:sz w:val="18"/>
          <w:szCs w:val="18"/>
        </w:rPr>
        <w:t>.</w:t>
      </w:r>
      <w:r w:rsidR="007B37A6">
        <w:rPr>
          <w:sz w:val="18"/>
          <w:szCs w:val="18"/>
        </w:rPr>
        <w:t xml:space="preserve"> </w:t>
      </w:r>
    </w:p>
    <w:p w:rsidR="00150A18" w:rsidRDefault="00EE2A94" w:rsidP="00150A18">
      <w:pPr>
        <w:pStyle w:val="ListParagraph"/>
        <w:autoSpaceDE/>
        <w:autoSpaceDN/>
        <w:spacing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has</w:t>
      </w:r>
      <w:r w:rsidR="007B37A6" w:rsidRPr="00453BBE">
        <w:rPr>
          <w:i/>
          <w:sz w:val="18"/>
          <w:szCs w:val="18"/>
        </w:rPr>
        <w:t xml:space="preserve"> not returned to 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7B37A6" w:rsidRPr="00453BBE">
        <w:rPr>
          <w:i/>
          <w:sz w:val="18"/>
          <w:szCs w:val="18"/>
        </w:rPr>
        <w:t>continue to work less than</w:t>
      </w:r>
      <w:r w:rsidR="002301A0" w:rsidRPr="00453BBE">
        <w:rPr>
          <w:i/>
          <w:sz w:val="18"/>
          <w:szCs w:val="18"/>
        </w:rPr>
        <w:t xml:space="preserve"> 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EE5157">
        <w:rPr>
          <w:sz w:val="18"/>
          <w:szCs w:val="18"/>
        </w:rPr>
        <w:t>increased by 2.5</w:t>
      </w:r>
      <w:r w:rsidR="003C1C82">
        <w:rPr>
          <w:sz w:val="18"/>
          <w:szCs w:val="18"/>
        </w:rPr>
        <w:t xml:space="preserve"> percentage points to 1</w:t>
      </w:r>
      <w:r w:rsidR="00EE5157">
        <w:rPr>
          <w:sz w:val="18"/>
          <w:szCs w:val="18"/>
        </w:rPr>
        <w:t>3.7</w:t>
      </w:r>
      <w:r w:rsidR="003C1C82">
        <w:rPr>
          <w:sz w:val="18"/>
          <w:szCs w:val="18"/>
        </w:rPr>
        <w:t xml:space="preserve">%, </w:t>
      </w:r>
      <w:r w:rsidR="00EE5157">
        <w:rPr>
          <w:sz w:val="18"/>
          <w:szCs w:val="18"/>
        </w:rPr>
        <w:t>compared to 17.4</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C836FA">
        <w:rPr>
          <w:sz w:val="18"/>
          <w:szCs w:val="18"/>
        </w:rPr>
        <w:t>de</w:t>
      </w:r>
      <w:r w:rsidR="00160EA0">
        <w:rPr>
          <w:sz w:val="18"/>
          <w:szCs w:val="18"/>
        </w:rPr>
        <w:t>creased</w:t>
      </w:r>
      <w:r w:rsidR="002312DA">
        <w:rPr>
          <w:sz w:val="18"/>
          <w:szCs w:val="18"/>
        </w:rPr>
        <w:t xml:space="preserve"> </w:t>
      </w:r>
      <w:r w:rsidR="00EE5157">
        <w:rPr>
          <w:sz w:val="18"/>
          <w:szCs w:val="18"/>
        </w:rPr>
        <w:t>2.4</w:t>
      </w:r>
      <w:r>
        <w:rPr>
          <w:sz w:val="18"/>
          <w:szCs w:val="18"/>
        </w:rPr>
        <w:t xml:space="preserve">% from </w:t>
      </w:r>
      <w:r w:rsidR="00EE5157">
        <w:rPr>
          <w:sz w:val="18"/>
          <w:szCs w:val="18"/>
        </w:rPr>
        <w:t>October 2019</w:t>
      </w:r>
      <w:r w:rsidR="00674233">
        <w:rPr>
          <w:sz w:val="18"/>
          <w:szCs w:val="18"/>
        </w:rPr>
        <w:t>.</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C836F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717DEC">
              <w:rPr>
                <w:rFonts w:eastAsia="Calibri" w:cs="Times New Roman"/>
                <w:sz w:val="16"/>
                <w:szCs w:val="16"/>
                <w:lang w:eastAsia="en-AU" w:bidi="ar-SA"/>
              </w:rPr>
              <w:t xml:space="preserve"> </w:t>
            </w:r>
            <w:r w:rsidR="00EE5157">
              <w:rPr>
                <w:rFonts w:eastAsia="Calibri" w:cs="Times New Roman"/>
                <w:sz w:val="16"/>
                <w:szCs w:val="16"/>
                <w:lang w:eastAsia="en-AU" w:bidi="ar-SA"/>
              </w:rPr>
              <w:t>1.0</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EE5157"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5.7</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C836F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EE5157"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7.0</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DC5152">
        <w:rPr>
          <w:sz w:val="18"/>
          <w:szCs w:val="20"/>
          <w:lang w:eastAsia="en-AU"/>
        </w:rPr>
        <w:t>October</w:t>
      </w:r>
      <w:r w:rsidR="00DF135D"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174EA4">
        <w:rPr>
          <w:sz w:val="18"/>
          <w:szCs w:val="18"/>
        </w:rPr>
        <w:t>in</w:t>
      </w:r>
      <w:r w:rsidR="008D4ACD">
        <w:rPr>
          <w:sz w:val="18"/>
          <w:szCs w:val="18"/>
        </w:rPr>
        <w:t xml:space="preserve">creased to </w:t>
      </w:r>
      <w:r w:rsidR="00DB4D57">
        <w:rPr>
          <w:sz w:val="18"/>
          <w:szCs w:val="18"/>
        </w:rPr>
        <w:t>5.7</w:t>
      </w:r>
      <w:r w:rsidR="00151B99">
        <w:rPr>
          <w:sz w:val="18"/>
          <w:szCs w:val="18"/>
        </w:rPr>
        <w:t>% f</w:t>
      </w:r>
      <w:r w:rsidR="00D913FF" w:rsidRPr="00CB59F7">
        <w:rPr>
          <w:sz w:val="18"/>
          <w:szCs w:val="18"/>
        </w:rPr>
        <w:t>rom the previous month’s revised figure</w:t>
      </w:r>
      <w:r w:rsidR="008D4ACD">
        <w:rPr>
          <w:sz w:val="18"/>
          <w:szCs w:val="18"/>
        </w:rPr>
        <w:t xml:space="preserve"> of </w:t>
      </w:r>
      <w:r w:rsidR="00DB4D57">
        <w:rPr>
          <w:sz w:val="18"/>
          <w:szCs w:val="18"/>
        </w:rPr>
        <w:t>4.7</w:t>
      </w:r>
      <w:r w:rsidR="00151B99">
        <w:rPr>
          <w:sz w:val="18"/>
          <w:szCs w:val="18"/>
        </w:rPr>
        <w:t>%</w:t>
      </w:r>
      <w:r w:rsidRPr="00CB59F7">
        <w:rPr>
          <w:sz w:val="18"/>
          <w:szCs w:val="18"/>
        </w:rPr>
        <w:t>.</w:t>
      </w:r>
    </w:p>
    <w:p w:rsidR="007C13F0" w:rsidRPr="00254DE1" w:rsidRDefault="005E68B3" w:rsidP="00171C84">
      <w:pPr>
        <w:pStyle w:val="ListParagraph"/>
        <w:numPr>
          <w:ilvl w:val="0"/>
          <w:numId w:val="3"/>
        </w:numPr>
        <w:autoSpaceDE/>
        <w:autoSpaceDN/>
        <w:spacing w:after="120" w:line="240" w:lineRule="auto"/>
        <w:ind w:left="284" w:right="-501" w:hanging="284"/>
        <w:rPr>
          <w:sz w:val="18"/>
          <w:szCs w:val="18"/>
          <w:lang w:eastAsia="en-AU"/>
        </w:rPr>
      </w:pPr>
      <w:r w:rsidRPr="00254DE1">
        <w:rPr>
          <w:sz w:val="18"/>
          <w:szCs w:val="18"/>
        </w:rPr>
        <w:t xml:space="preserve">The Territory had </w:t>
      </w:r>
      <w:r w:rsidR="00174EA4" w:rsidRPr="00254DE1">
        <w:rPr>
          <w:sz w:val="18"/>
          <w:szCs w:val="18"/>
        </w:rPr>
        <w:t xml:space="preserve">the second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DB11FC" w:rsidRPr="00254DE1">
        <w:rPr>
          <w:sz w:val="18"/>
          <w:szCs w:val="18"/>
        </w:rPr>
        <w:t>the Australian Capital Territory (</w:t>
      </w:r>
      <w:r w:rsidR="00174EA4" w:rsidRPr="00254DE1">
        <w:rPr>
          <w:sz w:val="18"/>
          <w:szCs w:val="18"/>
        </w:rPr>
        <w:t>3.</w:t>
      </w:r>
      <w:r w:rsidR="00DB4D57">
        <w:rPr>
          <w:sz w:val="18"/>
          <w:szCs w:val="18"/>
        </w:rPr>
        <w:t>9</w:t>
      </w:r>
      <w:r w:rsidR="00DB11FC" w:rsidRPr="00254DE1">
        <w:rPr>
          <w:sz w:val="18"/>
          <w:szCs w:val="18"/>
        </w:rPr>
        <w:t>%)</w:t>
      </w:r>
      <w:r w:rsidR="00D8075E" w:rsidRPr="00254DE1">
        <w:rPr>
          <w:sz w:val="18"/>
          <w:szCs w:val="18"/>
        </w:rPr>
        <w:t xml:space="preserve">, </w:t>
      </w:r>
      <w:r w:rsidR="009D540D" w:rsidRPr="00254DE1">
        <w:rPr>
          <w:sz w:val="18"/>
          <w:szCs w:val="18"/>
        </w:rPr>
        <w:t>followed</w:t>
      </w:r>
      <w:r w:rsidR="00174EA4" w:rsidRPr="00254DE1">
        <w:rPr>
          <w:sz w:val="18"/>
          <w:szCs w:val="18"/>
        </w:rPr>
        <w:t xml:space="preserve"> </w:t>
      </w:r>
      <w:r w:rsidR="00DB4D57">
        <w:rPr>
          <w:sz w:val="18"/>
          <w:szCs w:val="18"/>
        </w:rPr>
        <w:t>by New South Wales (6.5%)</w:t>
      </w:r>
      <w:r w:rsidR="00174EA4" w:rsidRPr="00254DE1">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DB4D57">
        <w:rPr>
          <w:sz w:val="18"/>
          <w:szCs w:val="18"/>
        </w:rPr>
        <w:t>Western Australia (6.6</w:t>
      </w:r>
      <w:r w:rsidR="00254DE1">
        <w:rPr>
          <w:sz w:val="18"/>
          <w:szCs w:val="18"/>
        </w:rPr>
        <w:t xml:space="preserve">%), </w:t>
      </w:r>
      <w:r w:rsidR="00DB4D57">
        <w:rPr>
          <w:sz w:val="18"/>
          <w:szCs w:val="18"/>
        </w:rPr>
        <w:t>South Australia (7.0</w:t>
      </w:r>
      <w:r w:rsidR="00254DE1">
        <w:rPr>
          <w:sz w:val="18"/>
          <w:szCs w:val="18"/>
        </w:rPr>
        <w:t xml:space="preserve">%), </w:t>
      </w:r>
      <w:r w:rsidR="00DB4D57">
        <w:rPr>
          <w:sz w:val="18"/>
          <w:szCs w:val="18"/>
        </w:rPr>
        <w:t xml:space="preserve">Victoria (7.7%), </w:t>
      </w:r>
      <w:r w:rsidR="00254DE1">
        <w:rPr>
          <w:sz w:val="18"/>
          <w:szCs w:val="18"/>
        </w:rPr>
        <w:t>Queensland (7.7%)</w:t>
      </w:r>
      <w:r w:rsidR="00DB4D57">
        <w:rPr>
          <w:sz w:val="18"/>
          <w:szCs w:val="18"/>
        </w:rPr>
        <w:t>, and then Tasmania (8.2%)</w:t>
      </w:r>
      <w:r w:rsidR="00254DE1">
        <w:rPr>
          <w:sz w:val="18"/>
          <w:szCs w:val="18"/>
        </w:rPr>
        <w:t xml:space="preserve">. </w:t>
      </w:r>
      <w:r w:rsidR="007C13F0" w:rsidRPr="00254DE1">
        <w:rPr>
          <w:sz w:val="18"/>
          <w:szCs w:val="18"/>
        </w:rPr>
        <w:t xml:space="preserve">Nationally, the unemployment rate </w:t>
      </w:r>
      <w:r w:rsidR="00710498">
        <w:rPr>
          <w:sz w:val="18"/>
          <w:szCs w:val="18"/>
        </w:rPr>
        <w:t>in</w:t>
      </w:r>
      <w:r w:rsidR="00DB4D57">
        <w:rPr>
          <w:sz w:val="18"/>
          <w:szCs w:val="18"/>
        </w:rPr>
        <w:t>creased to 7.0</w:t>
      </w:r>
      <w:r w:rsidR="00151B99" w:rsidRPr="00254DE1">
        <w:rPr>
          <w:sz w:val="18"/>
          <w:szCs w:val="18"/>
        </w:rPr>
        <w:t>% from</w:t>
      </w:r>
      <w:r w:rsidR="007C13F0" w:rsidRPr="00254DE1">
        <w:rPr>
          <w:sz w:val="18"/>
          <w:szCs w:val="18"/>
        </w:rPr>
        <w:t xml:space="preserve"> the previous month’s revised figure</w:t>
      </w:r>
      <w:r w:rsidRPr="00254DE1">
        <w:rPr>
          <w:sz w:val="18"/>
          <w:szCs w:val="18"/>
        </w:rPr>
        <w:t xml:space="preserve"> of </w:t>
      </w:r>
      <w:r w:rsidR="00DB4D57">
        <w:rPr>
          <w:sz w:val="18"/>
          <w:szCs w:val="18"/>
        </w:rPr>
        <w:t>6.9</w:t>
      </w:r>
      <w:r w:rsidR="00151B99" w:rsidRPr="00254DE1">
        <w:rPr>
          <w:sz w:val="18"/>
          <w:szCs w:val="18"/>
        </w:rPr>
        <w:t>%</w:t>
      </w:r>
      <w:r w:rsidR="007C13F0"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DB4D57" w:rsidP="00DB4D57">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2.5</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9D540D"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DB4D57">
              <w:rPr>
                <w:sz w:val="16"/>
                <w:szCs w:val="16"/>
              </w:rPr>
              <w:t>2.8</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DB4D57" w:rsidP="00DB4D57">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w:t>
            </w:r>
            <w:r w:rsidR="00B10AE4">
              <w:rPr>
                <w:sz w:val="16"/>
                <w:szCs w:val="16"/>
              </w:rPr>
              <w:t xml:space="preserve"> </w:t>
            </w:r>
            <w:r w:rsidR="009D540D">
              <w:rPr>
                <w:sz w:val="16"/>
                <w:szCs w:val="16"/>
              </w:rPr>
              <w:t>0.</w:t>
            </w:r>
            <w:r>
              <w:rPr>
                <w:sz w:val="16"/>
                <w:szCs w:val="16"/>
              </w:rPr>
              <w:t>9</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DB4D57">
              <w:rPr>
                <w:sz w:val="16"/>
                <w:szCs w:val="16"/>
              </w:rPr>
              <w:t>5</w:t>
            </w:r>
            <w:r w:rsidR="009D540D">
              <w:rPr>
                <w:sz w:val="16"/>
                <w:szCs w:val="16"/>
              </w:rPr>
              <w:t>.8</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DC5152">
        <w:rPr>
          <w:sz w:val="18"/>
          <w:szCs w:val="20"/>
          <w:lang w:eastAsia="en-AU"/>
        </w:rPr>
        <w:t>October</w:t>
      </w:r>
      <w:r w:rsidR="00DF135D" w:rsidRPr="00CB59F7">
        <w:rPr>
          <w:sz w:val="18"/>
          <w:szCs w:val="18"/>
        </w:rPr>
        <w:t xml:space="preserve"> </w:t>
      </w:r>
      <w:r w:rsidR="00A27872" w:rsidRPr="00CB59F7">
        <w:rPr>
          <w:sz w:val="18"/>
          <w:szCs w:val="18"/>
        </w:rPr>
        <w:t>2020</w:t>
      </w:r>
      <w:r w:rsidRPr="00CB59F7">
        <w:rPr>
          <w:sz w:val="18"/>
          <w:szCs w:val="18"/>
        </w:rPr>
        <w:t>, the Territory’s labour force participation rate</w:t>
      </w:r>
      <w:r w:rsidR="00DB4D57">
        <w:rPr>
          <w:sz w:val="18"/>
          <w:szCs w:val="18"/>
        </w:rPr>
        <w:t xml:space="preserve"> in</w:t>
      </w:r>
      <w:r w:rsidR="008E56CA">
        <w:rPr>
          <w:sz w:val="18"/>
          <w:szCs w:val="18"/>
        </w:rPr>
        <w:t xml:space="preserve">creased by </w:t>
      </w:r>
      <w:r w:rsidR="00DB4D57">
        <w:rPr>
          <w:sz w:val="18"/>
          <w:szCs w:val="18"/>
        </w:rPr>
        <w:t>2.5</w:t>
      </w:r>
      <w:r w:rsidR="00113951">
        <w:rPr>
          <w:sz w:val="18"/>
          <w:szCs w:val="18"/>
        </w:rPr>
        <w:t xml:space="preserve"> </w:t>
      </w:r>
      <w:r w:rsidR="00803A96" w:rsidRPr="00CB59F7">
        <w:rPr>
          <w:sz w:val="18"/>
          <w:szCs w:val="18"/>
        </w:rPr>
        <w:t>percentage point</w:t>
      </w:r>
      <w:r w:rsidR="00113951">
        <w:rPr>
          <w:sz w:val="18"/>
          <w:szCs w:val="18"/>
        </w:rPr>
        <w:t>s</w:t>
      </w:r>
      <w:r w:rsidR="00803A96" w:rsidRPr="00CB59F7">
        <w:rPr>
          <w:sz w:val="18"/>
          <w:szCs w:val="18"/>
        </w:rPr>
        <w:t xml:space="preserve"> to</w:t>
      </w:r>
      <w:r w:rsidR="00031366" w:rsidRPr="00CB59F7">
        <w:rPr>
          <w:sz w:val="18"/>
          <w:szCs w:val="18"/>
        </w:rPr>
        <w:t xml:space="preserve"> </w:t>
      </w:r>
      <w:r w:rsidR="009D540D">
        <w:rPr>
          <w:sz w:val="18"/>
          <w:szCs w:val="18"/>
        </w:rPr>
        <w:t>7</w:t>
      </w:r>
      <w:r w:rsidR="00DB4D57">
        <w:rPr>
          <w:sz w:val="18"/>
          <w:szCs w:val="18"/>
        </w:rPr>
        <w:t>2.8</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113951">
        <w:rPr>
          <w:sz w:val="18"/>
          <w:szCs w:val="18"/>
        </w:rPr>
        <w:t xml:space="preserve"> second</w:t>
      </w:r>
      <w:r w:rsidRPr="00CB59F7">
        <w:rPr>
          <w:sz w:val="18"/>
          <w:szCs w:val="18"/>
        </w:rPr>
        <w:t xml:space="preserve"> highest participation rate, </w:t>
      </w:r>
      <w:r w:rsidR="00113951">
        <w:rPr>
          <w:sz w:val="18"/>
          <w:szCs w:val="18"/>
        </w:rPr>
        <w:t xml:space="preserve">after </w:t>
      </w:r>
      <w:r w:rsidRPr="00CB59F7">
        <w:rPr>
          <w:sz w:val="18"/>
          <w:szCs w:val="18"/>
        </w:rPr>
        <w:t xml:space="preserve">the Australian Capital Territory </w:t>
      </w:r>
      <w:r w:rsidR="00B10AE4">
        <w:rPr>
          <w:sz w:val="18"/>
          <w:szCs w:val="18"/>
        </w:rPr>
        <w:t>(</w:t>
      </w:r>
      <w:r w:rsidR="00A31E76">
        <w:rPr>
          <w:sz w:val="18"/>
          <w:szCs w:val="18"/>
        </w:rPr>
        <w:t>7</w:t>
      </w:r>
      <w:r w:rsidR="00021F23">
        <w:rPr>
          <w:sz w:val="18"/>
          <w:szCs w:val="18"/>
        </w:rPr>
        <w:t>5.2</w:t>
      </w:r>
      <w:r w:rsidR="00B10AE4">
        <w:rPr>
          <w:sz w:val="18"/>
          <w:szCs w:val="18"/>
        </w:rPr>
        <w:t>%)</w:t>
      </w:r>
      <w:r w:rsidR="00113951">
        <w:rPr>
          <w:sz w:val="18"/>
          <w:szCs w:val="18"/>
        </w:rPr>
        <w:t>, then followed by</w:t>
      </w:r>
      <w:r w:rsidR="00B10AE4">
        <w:rPr>
          <w:sz w:val="18"/>
          <w:szCs w:val="18"/>
        </w:rPr>
        <w:t xml:space="preserve"> Western Australia (</w:t>
      </w:r>
      <w:r w:rsidR="00021F23">
        <w:rPr>
          <w:sz w:val="18"/>
          <w:szCs w:val="18"/>
        </w:rPr>
        <w:t>68.3</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021F23">
        <w:rPr>
          <w:sz w:val="18"/>
          <w:szCs w:val="18"/>
        </w:rPr>
        <w:t>inc</w:t>
      </w:r>
      <w:r w:rsidR="00B10AE4">
        <w:rPr>
          <w:sz w:val="18"/>
          <w:szCs w:val="18"/>
        </w:rPr>
        <w:t xml:space="preserve">reased by </w:t>
      </w:r>
      <w:r w:rsidR="00021F23">
        <w:rPr>
          <w:sz w:val="18"/>
          <w:szCs w:val="18"/>
        </w:rPr>
        <w:t>0.9</w:t>
      </w:r>
      <w:r w:rsidR="00B10AE4">
        <w:rPr>
          <w:sz w:val="18"/>
          <w:szCs w:val="18"/>
        </w:rPr>
        <w:t xml:space="preserve"> </w:t>
      </w:r>
      <w:r w:rsidR="009D57FD">
        <w:rPr>
          <w:sz w:val="18"/>
          <w:szCs w:val="18"/>
        </w:rPr>
        <w:t>of a percentage point</w:t>
      </w:r>
      <w:r w:rsidR="00B10AE4">
        <w:rPr>
          <w:sz w:val="18"/>
          <w:szCs w:val="18"/>
        </w:rPr>
        <w:t xml:space="preserve"> to 6</w:t>
      </w:r>
      <w:r w:rsidR="00021F23">
        <w:rPr>
          <w:sz w:val="18"/>
          <w:szCs w:val="18"/>
        </w:rPr>
        <w:t>5</w:t>
      </w:r>
      <w:r w:rsidR="00B37BFC">
        <w:rPr>
          <w:sz w:val="18"/>
          <w:szCs w:val="18"/>
        </w:rPr>
        <w:t>.</w:t>
      </w:r>
      <w:r w:rsidR="009D540D">
        <w:rPr>
          <w:sz w:val="18"/>
          <w:szCs w:val="18"/>
        </w:rPr>
        <w:t>8</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021F23" w:rsidRPr="00021F23">
        <w:rPr>
          <w:noProof/>
          <w:lang w:eastAsia="en-AU" w:bidi="ar-SA"/>
        </w:rPr>
        <w:drawing>
          <wp:inline distT="0" distB="0" distL="0" distR="0">
            <wp:extent cx="3012440" cy="2086428"/>
            <wp:effectExtent l="0" t="0" r="0" b="0"/>
            <wp:docPr id="4" name="Picture 4" descr="This chart indicates the following unemployment rates for each jurisdictions:&#10;Queensland is 7.7 percent &#10;South Australia is 7.0 percent &#10;Tasmania is 8.2 percent &#10;Northern Territory is 5.7 percent &#10;Western Australia is 6.6 percent &#10;Victoria is 7.4 percent &#10;New South Wales is 6.5 percent &#10;Australian Capital Territory is 3.9 percent &#10;Australia is 7.0 percent&#10;&#10;The following participation rates for each jurisdictions are: &#10;Northern Territory is 72.8 percent &#10;Australian Capital Territory is 75.2 percent &#10;Western Australia is 68.3 percent &#10;Victoria is 65.0 percent &#10;Queensland is 66.6 percent &#10;New South Wales is 65.6 percent &#10;South Australia is 63.1 percent &#10;Tasmania is 61.4 percent&#10;Australia is 65.8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6428"/>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021F23" w:rsidP="00021F2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3.5</w:t>
            </w:r>
            <w:r w:rsidR="00AD5B6C" w:rsidRPr="004F0FED">
              <w:rPr>
                <w:rFonts w:eastAsia="Calibri" w:cs="Times New Roman"/>
                <w:sz w:val="16"/>
                <w:szCs w:val="16"/>
                <w:lang w:eastAsia="en-AU" w:bidi="ar-SA"/>
              </w:rPr>
              <w:t>%</w:t>
            </w:r>
          </w:p>
        </w:tc>
        <w:tc>
          <w:tcPr>
            <w:tcW w:w="1259" w:type="dxa"/>
          </w:tcPr>
          <w:p w:rsidR="00AD5B6C" w:rsidRPr="004F0FED" w:rsidRDefault="00021F23"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136 964</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0577E4" w:rsidP="000577E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1.5</w:t>
            </w:r>
            <w:r w:rsidR="00AD5B6C" w:rsidRPr="004F0FED">
              <w:rPr>
                <w:rFonts w:eastAsia="Calibri" w:cs="Times New Roman"/>
                <w:sz w:val="16"/>
                <w:szCs w:val="16"/>
                <w:lang w:eastAsia="en-AU" w:bidi="ar-SA"/>
              </w:rPr>
              <w:t>%</w:t>
            </w:r>
          </w:p>
        </w:tc>
        <w:tc>
          <w:tcPr>
            <w:tcW w:w="1259" w:type="dxa"/>
          </w:tcPr>
          <w:p w:rsidR="00AD5B6C" w:rsidRPr="004F0FED" w:rsidRDefault="00E417E8" w:rsidP="000577E4">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0577E4">
              <w:rPr>
                <w:rFonts w:cs="Arial"/>
                <w:sz w:val="16"/>
                <w:szCs w:val="16"/>
              </w:rPr>
              <w:t>734 776</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0577E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171C84">
              <w:rPr>
                <w:rFonts w:eastAsia="Calibri" w:cs="Times New Roman"/>
                <w:sz w:val="16"/>
                <w:szCs w:val="16"/>
                <w:lang w:eastAsia="en-AU" w:bidi="ar-SA"/>
              </w:rPr>
              <w:t xml:space="preserve"> 0.1%</w:t>
            </w:r>
          </w:p>
        </w:tc>
        <w:tc>
          <w:tcPr>
            <w:tcW w:w="1259" w:type="dxa"/>
          </w:tcPr>
          <w:p w:rsidR="00AD5B6C" w:rsidRPr="004F0FED" w:rsidRDefault="00171C84" w:rsidP="000577E4">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188 </w:t>
            </w:r>
            <w:r w:rsidR="000577E4">
              <w:rPr>
                <w:rFonts w:eastAsia="Calibri" w:cs="Times New Roman"/>
                <w:sz w:val="16"/>
                <w:szCs w:val="16"/>
                <w:lang w:eastAsia="en-AU" w:bidi="ar-SA"/>
              </w:rPr>
              <w:t>247</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9D57F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0577E4">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171C84">
              <w:rPr>
                <w:rFonts w:cs="Arial"/>
                <w:sz w:val="16"/>
                <w:szCs w:val="16"/>
              </w:rPr>
              <w:t>8</w:t>
            </w:r>
            <w:r w:rsidR="000577E4">
              <w:rPr>
                <w:rFonts w:cs="Arial"/>
                <w:sz w:val="16"/>
                <w:szCs w:val="16"/>
              </w:rPr>
              <w:t>7</w:t>
            </w:r>
            <w:r w:rsidR="00171C84">
              <w:rPr>
                <w:rFonts w:cs="Arial"/>
                <w:sz w:val="16"/>
                <w:szCs w:val="16"/>
              </w:rPr>
              <w:t>1 5</w:t>
            </w:r>
            <w:r w:rsidR="000577E4">
              <w:rPr>
                <w:rFonts w:cs="Arial"/>
                <w:sz w:val="16"/>
                <w:szCs w:val="16"/>
              </w:rPr>
              <w:t>99</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DC5152">
        <w:rPr>
          <w:sz w:val="18"/>
          <w:szCs w:val="20"/>
          <w:lang w:eastAsia="en-AU"/>
        </w:rPr>
        <w:t>October</w:t>
      </w:r>
      <w:r w:rsidR="00DF135D"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0577E4">
        <w:rPr>
          <w:sz w:val="18"/>
          <w:szCs w:val="18"/>
        </w:rPr>
        <w:t>136 964</w:t>
      </w:r>
      <w:r w:rsidR="006B48D9">
        <w:rPr>
          <w:sz w:val="18"/>
          <w:szCs w:val="18"/>
        </w:rPr>
        <w:t xml:space="preserve"> persons, a</w:t>
      </w:r>
      <w:r w:rsidR="000577E4">
        <w:rPr>
          <w:sz w:val="18"/>
          <w:szCs w:val="18"/>
        </w:rPr>
        <w:t>n in</w:t>
      </w:r>
      <w:r w:rsidR="00EC1476">
        <w:rPr>
          <w:sz w:val="18"/>
          <w:szCs w:val="18"/>
        </w:rPr>
        <w:t xml:space="preserve">crease of </w:t>
      </w:r>
      <w:r w:rsidR="000577E4">
        <w:rPr>
          <w:sz w:val="18"/>
          <w:szCs w:val="18"/>
        </w:rPr>
        <w:t>3</w:t>
      </w:r>
      <w:r w:rsidR="00171C84">
        <w:rPr>
          <w:sz w:val="18"/>
          <w:szCs w:val="18"/>
        </w:rPr>
        <w:t>.5</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0577E4">
        <w:rPr>
          <w:sz w:val="18"/>
          <w:szCs w:val="18"/>
        </w:rPr>
        <w:t>in</w:t>
      </w:r>
      <w:r w:rsidR="00EC1476">
        <w:rPr>
          <w:sz w:val="18"/>
          <w:szCs w:val="18"/>
        </w:rPr>
        <w:t xml:space="preserve">creased by </w:t>
      </w:r>
      <w:r w:rsidR="000577E4">
        <w:rPr>
          <w:sz w:val="18"/>
          <w:szCs w:val="18"/>
        </w:rPr>
        <w:t>1.5</w:t>
      </w:r>
      <w:r w:rsidR="00B715A1" w:rsidRPr="00CB59F7">
        <w:rPr>
          <w:sz w:val="18"/>
          <w:szCs w:val="18"/>
        </w:rPr>
        <w:t xml:space="preserve">% to </w:t>
      </w:r>
      <w:r w:rsidR="0025497A" w:rsidRPr="00CB59F7">
        <w:rPr>
          <w:sz w:val="18"/>
          <w:szCs w:val="18"/>
        </w:rPr>
        <w:br/>
      </w:r>
      <w:r w:rsidR="000577E4">
        <w:rPr>
          <w:sz w:val="18"/>
          <w:szCs w:val="18"/>
        </w:rPr>
        <w:t>13 734 776</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9F508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9F508B">
              <w:rPr>
                <w:rFonts w:eastAsia="Calibri" w:cs="Times New Roman"/>
                <w:color w:val="FFFFFF"/>
                <w:sz w:val="16"/>
                <w:szCs w:val="16"/>
                <w:lang w:eastAsia="en-AU" w:bidi="ar-SA"/>
              </w:rPr>
              <w:t>Oct</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9F508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9F508B">
              <w:rPr>
                <w:rFonts w:eastAsia="Calibri" w:cs="Times New Roman"/>
                <w:color w:val="FFFFFF"/>
                <w:sz w:val="16"/>
                <w:szCs w:val="16"/>
                <w:lang w:eastAsia="en-AU" w:bidi="ar-SA"/>
              </w:rPr>
              <w:t>Oct</w:t>
            </w:r>
            <w:r w:rsidR="00857088">
              <w:rPr>
                <w:rFonts w:eastAsia="Calibri" w:cs="Times New Roman"/>
                <w:color w:val="FFFFFF"/>
                <w:sz w:val="16"/>
                <w:szCs w:val="16"/>
                <w:lang w:eastAsia="en-AU" w:bidi="ar-SA"/>
              </w:rPr>
              <w:t xml:space="preserve">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0C10B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9F508B">
              <w:rPr>
                <w:rFonts w:eastAsia="Calibri" w:cs="Times New Roman"/>
                <w:sz w:val="16"/>
                <w:szCs w:val="16"/>
                <w:lang w:eastAsia="en-AU" w:bidi="ar-SA"/>
              </w:rPr>
              <w:t>21.8</w:t>
            </w:r>
            <w:r w:rsidR="002817E4" w:rsidRPr="00CB59F7">
              <w:rPr>
                <w:rFonts w:eastAsia="Calibri" w:cs="Times New Roman"/>
                <w:sz w:val="16"/>
                <w:szCs w:val="16"/>
                <w:lang w:eastAsia="en-AU" w:bidi="ar-SA"/>
              </w:rPr>
              <w:t>%</w:t>
            </w:r>
          </w:p>
        </w:tc>
        <w:tc>
          <w:tcPr>
            <w:tcW w:w="992" w:type="dxa"/>
          </w:tcPr>
          <w:p w:rsidR="006E5BDA" w:rsidRPr="00CB59F7" w:rsidRDefault="009F508B" w:rsidP="000C10BC">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2135</w:t>
            </w:r>
          </w:p>
        </w:tc>
        <w:tc>
          <w:tcPr>
            <w:tcW w:w="1134" w:type="dxa"/>
          </w:tcPr>
          <w:p w:rsidR="006E5BDA" w:rsidRPr="00CB59F7" w:rsidRDefault="009F508B"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1670</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9F508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0C10BC">
              <w:rPr>
                <w:rFonts w:eastAsia="Calibri" w:cs="Times New Roman"/>
                <w:sz w:val="16"/>
                <w:szCs w:val="16"/>
                <w:lang w:eastAsia="en-AU" w:bidi="ar-SA"/>
              </w:rPr>
              <w:t>3</w:t>
            </w:r>
            <w:r w:rsidR="00DF135D">
              <w:rPr>
                <w:rFonts w:eastAsia="Calibri" w:cs="Times New Roman"/>
                <w:sz w:val="16"/>
                <w:szCs w:val="16"/>
                <w:lang w:eastAsia="en-AU" w:bidi="ar-SA"/>
              </w:rPr>
              <w:t>2</w:t>
            </w:r>
            <w:r w:rsidR="00324E0E">
              <w:rPr>
                <w:rFonts w:eastAsia="Calibri" w:cs="Times New Roman"/>
                <w:sz w:val="16"/>
                <w:szCs w:val="16"/>
                <w:lang w:eastAsia="en-AU" w:bidi="ar-SA"/>
              </w:rPr>
              <w:t>.</w:t>
            </w:r>
            <w:r w:rsidR="009F508B">
              <w:rPr>
                <w:rFonts w:eastAsia="Calibri" w:cs="Times New Roman"/>
                <w:sz w:val="16"/>
                <w:szCs w:val="16"/>
                <w:lang w:eastAsia="en-AU" w:bidi="ar-SA"/>
              </w:rPr>
              <w:t>3</w:t>
            </w:r>
            <w:r w:rsidR="006E5BDA" w:rsidRPr="00CB59F7">
              <w:rPr>
                <w:rFonts w:eastAsia="Calibri" w:cs="Times New Roman"/>
                <w:sz w:val="16"/>
                <w:szCs w:val="16"/>
                <w:lang w:eastAsia="en-AU" w:bidi="ar-SA"/>
              </w:rPr>
              <w:t>%</w:t>
            </w:r>
          </w:p>
        </w:tc>
        <w:tc>
          <w:tcPr>
            <w:tcW w:w="992" w:type="dxa"/>
          </w:tcPr>
          <w:p w:rsidR="006E5BDA" w:rsidRPr="00CB59F7" w:rsidRDefault="009F508B" w:rsidP="000C10BC">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803</w:t>
            </w:r>
          </w:p>
        </w:tc>
        <w:tc>
          <w:tcPr>
            <w:tcW w:w="1134" w:type="dxa"/>
          </w:tcPr>
          <w:p w:rsidR="006E5BDA" w:rsidRPr="00CB59F7" w:rsidRDefault="009F508B" w:rsidP="008A2161">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544</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1033DB">
        <w:rPr>
          <w:sz w:val="18"/>
          <w:szCs w:val="18"/>
        </w:rPr>
        <w:t xml:space="preserve">the year to </w:t>
      </w:r>
      <w:r w:rsidR="00DC5152">
        <w:rPr>
          <w:sz w:val="18"/>
          <w:szCs w:val="18"/>
        </w:rPr>
        <w:t>October</w:t>
      </w:r>
      <w:r w:rsidR="001033DB">
        <w:rPr>
          <w:sz w:val="18"/>
          <w:szCs w:val="18"/>
        </w:rPr>
        <w:t xml:space="preserve"> 20</w:t>
      </w:r>
      <w:r w:rsidR="00857088">
        <w:rPr>
          <w:sz w:val="18"/>
          <w:szCs w:val="18"/>
        </w:rPr>
        <w:t xml:space="preserve">20, there were </w:t>
      </w:r>
      <w:r w:rsidR="00931713">
        <w:rPr>
          <w:sz w:val="18"/>
          <w:szCs w:val="18"/>
        </w:rPr>
        <w:t>1670</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931713">
        <w:rPr>
          <w:sz w:val="18"/>
          <w:szCs w:val="18"/>
        </w:rPr>
        <w:t>21.8</w:t>
      </w:r>
      <w:r w:rsidR="00857088">
        <w:rPr>
          <w:sz w:val="18"/>
          <w:szCs w:val="18"/>
        </w:rPr>
        <w:t>% (</w:t>
      </w:r>
      <w:r w:rsidR="00931713">
        <w:rPr>
          <w:sz w:val="18"/>
          <w:szCs w:val="18"/>
        </w:rPr>
        <w:t>465</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Pr>
          <w:sz w:val="18"/>
          <w:szCs w:val="18"/>
        </w:rPr>
        <w:t xml:space="preserve">the year to </w:t>
      </w:r>
      <w:r w:rsidR="009F508B">
        <w:rPr>
          <w:sz w:val="18"/>
          <w:szCs w:val="18"/>
        </w:rPr>
        <w:t>October</w:t>
      </w:r>
      <w:r>
        <w:rPr>
          <w:sz w:val="18"/>
          <w:szCs w:val="18"/>
        </w:rPr>
        <w:t xml:space="preserve"> 2020</w:t>
      </w:r>
      <w:r w:rsidR="006754D2" w:rsidRPr="00CB59F7">
        <w:rPr>
          <w:sz w:val="18"/>
          <w:szCs w:val="18"/>
        </w:rPr>
        <w:t>, there w</w:t>
      </w:r>
      <w:r w:rsidR="00857088">
        <w:rPr>
          <w:sz w:val="18"/>
          <w:szCs w:val="18"/>
        </w:rPr>
        <w:t xml:space="preserve">ere </w:t>
      </w:r>
      <w:r w:rsidR="00931713">
        <w:rPr>
          <w:sz w:val="18"/>
          <w:szCs w:val="18"/>
        </w:rPr>
        <w:t>544</w:t>
      </w:r>
      <w:r w:rsidR="006E5BDA" w:rsidRPr="00CB59F7">
        <w:rPr>
          <w:sz w:val="18"/>
          <w:szCs w:val="18"/>
        </w:rPr>
        <w:t xml:space="preserve"> apprentice and trainee completions in the Territory, a</w:t>
      </w:r>
      <w:r w:rsidR="00857088">
        <w:rPr>
          <w:sz w:val="18"/>
          <w:szCs w:val="18"/>
        </w:rPr>
        <w:t xml:space="preserve"> decrease of </w:t>
      </w:r>
      <w:r w:rsidR="0062433C">
        <w:rPr>
          <w:sz w:val="18"/>
          <w:szCs w:val="18"/>
        </w:rPr>
        <w:t>3</w:t>
      </w:r>
      <w:r w:rsidR="00931713">
        <w:rPr>
          <w:sz w:val="18"/>
          <w:szCs w:val="18"/>
        </w:rPr>
        <w:t>2.3</w:t>
      </w:r>
      <w:r w:rsidR="00857088">
        <w:rPr>
          <w:sz w:val="18"/>
          <w:szCs w:val="18"/>
        </w:rPr>
        <w:t>% (</w:t>
      </w:r>
      <w:r w:rsidR="00931713">
        <w:rPr>
          <w:sz w:val="18"/>
          <w:szCs w:val="18"/>
        </w:rPr>
        <w:t>259</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62433C">
        <w:rPr>
          <w:sz w:val="18"/>
          <w:szCs w:val="18"/>
        </w:rPr>
        <w:t>3</w:t>
      </w:r>
      <w:r w:rsidR="00E63C17">
        <w:rPr>
          <w:sz w:val="18"/>
          <w:szCs w:val="18"/>
        </w:rPr>
        <w:t>0</w:t>
      </w:r>
      <w:r w:rsidR="0062433C">
        <w:rPr>
          <w:sz w:val="18"/>
          <w:szCs w:val="18"/>
        </w:rPr>
        <w:t xml:space="preserve"> </w:t>
      </w:r>
      <w:r w:rsidR="00E63C17">
        <w:rPr>
          <w:sz w:val="18"/>
          <w:szCs w:val="18"/>
        </w:rPr>
        <w:t>September</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84091D">
        <w:rPr>
          <w:sz w:val="18"/>
          <w:szCs w:val="18"/>
        </w:rPr>
        <w:t xml:space="preserve">e </w:t>
      </w:r>
      <w:r w:rsidR="00931713">
        <w:rPr>
          <w:sz w:val="18"/>
          <w:szCs w:val="18"/>
        </w:rPr>
        <w:t>3528</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bookmarkStart w:id="0" w:name="_GoBack"/>
      <w:bookmarkEnd w:id="0"/>
      <w:r w:rsidRPr="00CB59F7">
        <w:t>Internet job vacancies (</w:t>
      </w:r>
      <w:r w:rsidR="00931713">
        <w:t>October</w:t>
      </w:r>
      <w:r w:rsidR="0039239C" w:rsidRPr="00CB59F7">
        <w:t xml:space="preserve"> 2020</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93171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w:t>
            </w:r>
            <w:r w:rsidR="00171C84">
              <w:rPr>
                <w:rFonts w:eastAsia="Calibri" w:cs="Times New Roman"/>
                <w:sz w:val="16"/>
                <w:szCs w:val="16"/>
                <w:lang w:eastAsia="en-AU" w:bidi="ar-SA"/>
              </w:rPr>
              <w:t xml:space="preserve"> workers</w:t>
            </w:r>
          </w:p>
        </w:tc>
        <w:tc>
          <w:tcPr>
            <w:tcW w:w="1275" w:type="dxa"/>
          </w:tcPr>
          <w:p w:rsidR="00DA2F1A" w:rsidRPr="00CB59F7" w:rsidRDefault="00931713"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7.2</w:t>
            </w:r>
            <w:r w:rsidR="00171C84">
              <w:rPr>
                <w:rFonts w:eastAsia="Calibri" w:cs="Times New Roman"/>
                <w:sz w:val="16"/>
                <w:szCs w:val="16"/>
                <w:lang w:eastAsia="en-AU" w:bidi="ar-SA"/>
              </w:rPr>
              <w:t>%</w:t>
            </w:r>
          </w:p>
        </w:tc>
        <w:tc>
          <w:tcPr>
            <w:tcW w:w="1134" w:type="dxa"/>
          </w:tcPr>
          <w:p w:rsidR="00DA2F1A" w:rsidRPr="00CB59F7" w:rsidRDefault="00931713"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213</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93171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931713"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5.4</w:t>
            </w:r>
            <w:r w:rsidR="00127875">
              <w:rPr>
                <w:rFonts w:eastAsia="Calibri" w:cs="Times New Roman"/>
                <w:sz w:val="16"/>
                <w:szCs w:val="16"/>
                <w:lang w:eastAsia="en-AU" w:bidi="ar-SA"/>
              </w:rPr>
              <w:t>%</w:t>
            </w:r>
          </w:p>
        </w:tc>
        <w:tc>
          <w:tcPr>
            <w:tcW w:w="1134" w:type="dxa"/>
          </w:tcPr>
          <w:p w:rsidR="00DA2F1A" w:rsidRPr="00CB59F7" w:rsidRDefault="00931713"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302</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93171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1262F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3.0</w:t>
            </w:r>
            <w:r w:rsidR="00127875">
              <w:rPr>
                <w:rFonts w:eastAsia="Calibri" w:cs="Times New Roman"/>
                <w:sz w:val="16"/>
                <w:szCs w:val="16"/>
                <w:lang w:eastAsia="en-AU" w:bidi="ar-SA"/>
              </w:rPr>
              <w:t>%</w:t>
            </w:r>
          </w:p>
        </w:tc>
        <w:tc>
          <w:tcPr>
            <w:tcW w:w="1134" w:type="dxa"/>
          </w:tcPr>
          <w:p w:rsidR="00DA2F1A" w:rsidRPr="00CB59F7" w:rsidRDefault="001262FA"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62F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127875"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2.5%</w:t>
            </w:r>
          </w:p>
        </w:tc>
        <w:tc>
          <w:tcPr>
            <w:tcW w:w="1134" w:type="dxa"/>
          </w:tcPr>
          <w:p w:rsidR="00DA2F1A" w:rsidRPr="00CB59F7" w:rsidRDefault="001262F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512</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62F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127875" w:rsidP="001262F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w:t>
            </w:r>
            <w:r w:rsidR="001262FA">
              <w:rPr>
                <w:rFonts w:eastAsia="Calibri" w:cs="Times New Roman"/>
                <w:sz w:val="16"/>
                <w:szCs w:val="16"/>
                <w:lang w:eastAsia="en-AU" w:bidi="ar-SA"/>
              </w:rPr>
              <w:t>4%</w:t>
            </w:r>
          </w:p>
        </w:tc>
        <w:tc>
          <w:tcPr>
            <w:tcW w:w="1134" w:type="dxa"/>
          </w:tcPr>
          <w:p w:rsidR="00DA2F1A" w:rsidRPr="00CB59F7" w:rsidRDefault="001262F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115</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62F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1262F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2.0</w:t>
            </w:r>
            <w:r w:rsidR="00127875">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104</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1262F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0.6</w:t>
            </w:r>
            <w:r w:rsidR="00127875">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187</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1262F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4.4</w:t>
            </w:r>
            <w:r w:rsidR="00127875">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286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1262FA">
              <w:rPr>
                <w:rFonts w:eastAsia="Calibri" w:cs="Times New Roman"/>
                <w:sz w:val="16"/>
                <w:szCs w:val="16"/>
                <w:lang w:eastAsia="en-AU" w:bidi="ar-SA"/>
              </w:rPr>
              <w:t>3.2</w:t>
            </w:r>
            <w:r w:rsidR="00B10020">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1768</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1262FA">
        <w:rPr>
          <w:sz w:val="18"/>
          <w:szCs w:val="18"/>
        </w:rPr>
        <w:t>October</w:t>
      </w:r>
      <w:r w:rsidR="00127875" w:rsidRPr="00CB59F7">
        <w:rPr>
          <w:sz w:val="18"/>
          <w:szCs w:val="18"/>
        </w:rPr>
        <w:t xml:space="preserve"> </w:t>
      </w:r>
      <w:r w:rsidR="001147CF" w:rsidRPr="00CB59F7">
        <w:rPr>
          <w:sz w:val="18"/>
          <w:szCs w:val="18"/>
        </w:rPr>
        <w:t>2020</w:t>
      </w:r>
      <w:r w:rsidR="006E5BDA" w:rsidRPr="00CB59F7">
        <w:rPr>
          <w:sz w:val="18"/>
          <w:szCs w:val="18"/>
        </w:rPr>
        <w:t>, total interne</w:t>
      </w:r>
      <w:r w:rsidR="00DA2F1A">
        <w:rPr>
          <w:sz w:val="18"/>
          <w:szCs w:val="18"/>
        </w:rPr>
        <w:t>t job vacancies in</w:t>
      </w:r>
      <w:r w:rsidR="00A2728C">
        <w:rPr>
          <w:sz w:val="18"/>
          <w:szCs w:val="18"/>
        </w:rPr>
        <w:t xml:space="preserve">creased by </w:t>
      </w:r>
      <w:r w:rsidR="00127875">
        <w:rPr>
          <w:sz w:val="18"/>
          <w:szCs w:val="18"/>
        </w:rPr>
        <w:t>3</w:t>
      </w:r>
      <w:r w:rsidR="002C270F">
        <w:rPr>
          <w:sz w:val="18"/>
          <w:szCs w:val="18"/>
        </w:rPr>
        <w:t>.</w:t>
      </w:r>
      <w:r w:rsidR="001262FA">
        <w:rPr>
          <w:sz w:val="18"/>
          <w:szCs w:val="18"/>
        </w:rPr>
        <w:t>2</w:t>
      </w:r>
      <w:r w:rsidR="00A2728C">
        <w:rPr>
          <w:sz w:val="18"/>
          <w:szCs w:val="18"/>
        </w:rPr>
        <w:t xml:space="preserve">% (trend) to </w:t>
      </w:r>
      <w:r w:rsidR="001262FA">
        <w:rPr>
          <w:sz w:val="18"/>
          <w:szCs w:val="18"/>
        </w:rPr>
        <w:t>1768</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1262FA">
        <w:rPr>
          <w:sz w:val="18"/>
          <w:szCs w:val="18"/>
        </w:rPr>
        <w:t>October</w:t>
      </w:r>
      <w:r w:rsidR="00127875" w:rsidRPr="00CB59F7">
        <w:rPr>
          <w:sz w:val="18"/>
          <w:szCs w:val="18"/>
        </w:rPr>
        <w:t xml:space="preserve"> </w:t>
      </w:r>
      <w:r w:rsidR="001147CF" w:rsidRPr="00CB59F7">
        <w:rPr>
          <w:sz w:val="18"/>
          <w:szCs w:val="18"/>
        </w:rPr>
        <w:t>2020</w:t>
      </w:r>
      <w:r w:rsidRPr="00CB59F7">
        <w:rPr>
          <w:sz w:val="18"/>
          <w:szCs w:val="18"/>
        </w:rPr>
        <w:t>, internet job vacancies</w:t>
      </w:r>
      <w:r w:rsidR="006856A1">
        <w:rPr>
          <w:sz w:val="18"/>
          <w:szCs w:val="18"/>
        </w:rPr>
        <w:t xml:space="preserve"> reported increases in the Territory, except</w:t>
      </w:r>
      <w:r w:rsidRPr="00CB59F7">
        <w:rPr>
          <w:sz w:val="18"/>
          <w:szCs w:val="18"/>
        </w:rPr>
        <w:t xml:space="preserve"> for </w:t>
      </w:r>
      <w:r w:rsidR="006856A1">
        <w:rPr>
          <w:sz w:val="18"/>
          <w:szCs w:val="18"/>
        </w:rPr>
        <w:t xml:space="preserve">Clerical and administrative workers </w:t>
      </w:r>
      <w:r w:rsidR="001262FA">
        <w:rPr>
          <w:sz w:val="18"/>
          <w:szCs w:val="18"/>
        </w:rPr>
        <w:t>which decreased by 4.4</w:t>
      </w:r>
      <w:r w:rsidR="00127875">
        <w:rPr>
          <w:sz w:val="18"/>
          <w:szCs w:val="18"/>
        </w:rPr>
        <w:t xml:space="preserve">% to </w:t>
      </w:r>
      <w:r w:rsidR="001262FA">
        <w:rPr>
          <w:sz w:val="18"/>
          <w:szCs w:val="18"/>
        </w:rPr>
        <w:t>286</w:t>
      </w:r>
      <w:r w:rsidR="00D66E52" w:rsidRPr="00CB59F7">
        <w:rPr>
          <w:sz w:val="18"/>
          <w:szCs w:val="18"/>
        </w:rPr>
        <w:t xml:space="preserve">. </w:t>
      </w:r>
      <w:r w:rsidR="001147CF" w:rsidRPr="00CB59F7">
        <w:rPr>
          <w:sz w:val="18"/>
          <w:szCs w:val="18"/>
        </w:rPr>
        <w:t xml:space="preserve"> </w:t>
      </w:r>
    </w:p>
    <w:p w:rsidR="00815A79" w:rsidRDefault="001262FA" w:rsidP="00815A79">
      <w:pPr>
        <w:pStyle w:val="ListParagraph"/>
        <w:numPr>
          <w:ilvl w:val="0"/>
          <w:numId w:val="7"/>
        </w:numPr>
        <w:autoSpaceDE/>
        <w:autoSpaceDN/>
        <w:spacing w:after="120" w:line="240" w:lineRule="auto"/>
        <w:ind w:left="284" w:right="-218" w:hanging="284"/>
        <w:rPr>
          <w:sz w:val="18"/>
          <w:szCs w:val="18"/>
        </w:rPr>
      </w:pPr>
      <w:r>
        <w:rPr>
          <w:sz w:val="18"/>
          <w:szCs w:val="18"/>
        </w:rPr>
        <w:t>Community and personal service</w:t>
      </w:r>
      <w:r w:rsidR="00127875">
        <w:rPr>
          <w:sz w:val="18"/>
          <w:szCs w:val="18"/>
        </w:rPr>
        <w:t xml:space="preserve"> workers </w:t>
      </w:r>
      <w:r w:rsidR="006E5BDA" w:rsidRPr="00A2728C">
        <w:rPr>
          <w:sz w:val="18"/>
          <w:szCs w:val="18"/>
        </w:rPr>
        <w:t>reported the</w:t>
      </w:r>
      <w:r w:rsidR="000C3AF7" w:rsidRPr="00A2728C">
        <w:rPr>
          <w:sz w:val="18"/>
          <w:szCs w:val="18"/>
        </w:rPr>
        <w:t xml:space="preserve"> </w:t>
      </w:r>
      <w:r w:rsidR="006856A1">
        <w:rPr>
          <w:sz w:val="18"/>
          <w:szCs w:val="18"/>
        </w:rPr>
        <w:t>largest in</w:t>
      </w:r>
      <w:r w:rsidR="00A2728C">
        <w:rPr>
          <w:sz w:val="18"/>
          <w:szCs w:val="18"/>
        </w:rPr>
        <w:t>crease (</w:t>
      </w:r>
      <w:r>
        <w:rPr>
          <w:sz w:val="18"/>
          <w:szCs w:val="18"/>
        </w:rPr>
        <w:t>7.2</w:t>
      </w:r>
      <w:r w:rsidR="006856A1">
        <w:rPr>
          <w:sz w:val="18"/>
          <w:szCs w:val="18"/>
        </w:rPr>
        <w:t>%), followed b</w:t>
      </w:r>
      <w:r w:rsidR="006E5BDA" w:rsidRPr="00A2728C">
        <w:rPr>
          <w:sz w:val="18"/>
          <w:szCs w:val="18"/>
        </w:rPr>
        <w:t xml:space="preserve">y </w:t>
      </w:r>
      <w:r>
        <w:rPr>
          <w:sz w:val="18"/>
          <w:szCs w:val="18"/>
        </w:rPr>
        <w:t>Technicians and trade workers</w:t>
      </w:r>
      <w:r w:rsidR="00A66924">
        <w:rPr>
          <w:sz w:val="18"/>
          <w:szCs w:val="18"/>
        </w:rPr>
        <w:t xml:space="preserve"> (</w:t>
      </w:r>
      <w:r>
        <w:rPr>
          <w:sz w:val="18"/>
          <w:szCs w:val="18"/>
        </w:rPr>
        <w:t>5.4</w:t>
      </w:r>
      <w:r w:rsidR="00DA2F1A" w:rsidRPr="00A2728C">
        <w:rPr>
          <w:sz w:val="18"/>
          <w:szCs w:val="18"/>
        </w:rPr>
        <w:t>%)</w:t>
      </w:r>
      <w:r w:rsidR="00DA2F1A">
        <w:rPr>
          <w:sz w:val="18"/>
          <w:szCs w:val="18"/>
        </w:rPr>
        <w:t xml:space="preserve">, and then </w:t>
      </w:r>
      <w:r>
        <w:rPr>
          <w:sz w:val="18"/>
          <w:szCs w:val="18"/>
        </w:rPr>
        <w:t>Sales workers</w:t>
      </w:r>
      <w:r w:rsidR="00A2728C">
        <w:rPr>
          <w:sz w:val="18"/>
          <w:szCs w:val="18"/>
        </w:rPr>
        <w:t xml:space="preserve"> (</w:t>
      </w:r>
      <w:r>
        <w:rPr>
          <w:sz w:val="18"/>
          <w:szCs w:val="18"/>
        </w:rPr>
        <w:t>3.0</w:t>
      </w:r>
      <w:r w:rsidR="001147CF" w:rsidRPr="00A2728C">
        <w:rPr>
          <w:sz w:val="18"/>
          <w:szCs w:val="18"/>
        </w:rPr>
        <w:t>%)</w:t>
      </w:r>
      <w:r w:rsidR="006E5BDA" w:rsidRPr="00A2728C">
        <w:rPr>
          <w:sz w:val="18"/>
          <w:szCs w:val="18"/>
        </w:rPr>
        <w:t xml:space="preserve">. </w:t>
      </w:r>
    </w:p>
    <w:p w:rsidR="00A66924" w:rsidRDefault="00A2728C" w:rsidP="00815A79">
      <w:pPr>
        <w:pStyle w:val="ListParagraph"/>
        <w:numPr>
          <w:ilvl w:val="0"/>
          <w:numId w:val="7"/>
        </w:numPr>
        <w:autoSpaceDE/>
        <w:autoSpaceDN/>
        <w:spacing w:after="120" w:line="240" w:lineRule="auto"/>
        <w:ind w:left="284" w:right="-218" w:hanging="284"/>
        <w:rPr>
          <w:sz w:val="18"/>
          <w:szCs w:val="18"/>
        </w:rPr>
      </w:pPr>
      <w:r w:rsidRPr="00815A79">
        <w:rPr>
          <w:sz w:val="18"/>
          <w:szCs w:val="18"/>
        </w:rPr>
        <w:t>In regional NT,</w:t>
      </w:r>
      <w:r w:rsidR="00FB4C63">
        <w:rPr>
          <w:sz w:val="18"/>
          <w:szCs w:val="18"/>
        </w:rPr>
        <w:t xml:space="preserve"> </w:t>
      </w:r>
      <w:r w:rsidR="00A66924">
        <w:rPr>
          <w:sz w:val="18"/>
          <w:szCs w:val="18"/>
        </w:rPr>
        <w:t>all occupation groups</w:t>
      </w:r>
      <w:r w:rsidR="00FB4C63">
        <w:rPr>
          <w:sz w:val="18"/>
          <w:szCs w:val="18"/>
        </w:rPr>
        <w:t xml:space="preserve"> recorded </w:t>
      </w:r>
      <w:r w:rsidR="00A66924">
        <w:rPr>
          <w:sz w:val="18"/>
          <w:szCs w:val="18"/>
        </w:rPr>
        <w:t>in</w:t>
      </w:r>
      <w:r w:rsidR="00FB4C63">
        <w:rPr>
          <w:sz w:val="18"/>
          <w:szCs w:val="18"/>
        </w:rPr>
        <w:t>crease</w:t>
      </w:r>
      <w:r w:rsidR="00A66924">
        <w:rPr>
          <w:sz w:val="18"/>
          <w:szCs w:val="18"/>
        </w:rPr>
        <w:t>s</w:t>
      </w:r>
      <w:r w:rsidR="006E5BDA" w:rsidRPr="00815A79">
        <w:rPr>
          <w:sz w:val="18"/>
          <w:szCs w:val="18"/>
        </w:rPr>
        <w:t xml:space="preserve"> in the month</w:t>
      </w:r>
      <w:r w:rsidR="001262FA">
        <w:rPr>
          <w:sz w:val="18"/>
          <w:szCs w:val="18"/>
        </w:rPr>
        <w:t>, except for Labourers and Managers, which decreased 5.8% and 1.1% respectively</w:t>
      </w:r>
      <w:r w:rsidRPr="00815A79">
        <w:rPr>
          <w:sz w:val="18"/>
          <w:szCs w:val="18"/>
        </w:rPr>
        <w:t xml:space="preserve">. </w:t>
      </w:r>
    </w:p>
    <w:p w:rsidR="00171CCC" w:rsidRPr="00815A79" w:rsidRDefault="001262FA" w:rsidP="00815A79">
      <w:pPr>
        <w:pStyle w:val="ListParagraph"/>
        <w:numPr>
          <w:ilvl w:val="0"/>
          <w:numId w:val="7"/>
        </w:numPr>
        <w:autoSpaceDE/>
        <w:autoSpaceDN/>
        <w:spacing w:after="120" w:line="240" w:lineRule="auto"/>
        <w:ind w:left="284" w:right="-218" w:hanging="284"/>
        <w:rPr>
          <w:sz w:val="18"/>
          <w:szCs w:val="18"/>
        </w:rPr>
      </w:pPr>
      <w:r>
        <w:rPr>
          <w:sz w:val="18"/>
          <w:szCs w:val="18"/>
        </w:rPr>
        <w:t>Community and personal service workers</w:t>
      </w:r>
      <w:r w:rsidR="00127875">
        <w:rPr>
          <w:sz w:val="18"/>
          <w:szCs w:val="18"/>
        </w:rPr>
        <w:t xml:space="preserve"> </w:t>
      </w:r>
      <w:r w:rsidR="00A2728C" w:rsidRPr="00815A79">
        <w:rPr>
          <w:sz w:val="18"/>
          <w:szCs w:val="18"/>
        </w:rPr>
        <w:t xml:space="preserve">reported the largest </w:t>
      </w:r>
      <w:r w:rsidR="00FB4C63">
        <w:rPr>
          <w:sz w:val="18"/>
          <w:szCs w:val="18"/>
        </w:rPr>
        <w:t>in</w:t>
      </w:r>
      <w:r w:rsidR="00A2728C" w:rsidRPr="00815A79">
        <w:rPr>
          <w:sz w:val="18"/>
          <w:szCs w:val="18"/>
        </w:rPr>
        <w:t>crease (</w:t>
      </w:r>
      <w:r>
        <w:rPr>
          <w:sz w:val="18"/>
          <w:szCs w:val="18"/>
        </w:rPr>
        <w:t>20.9</w:t>
      </w:r>
      <w:r w:rsidR="00A2728C" w:rsidRPr="00815A79">
        <w:rPr>
          <w:sz w:val="18"/>
          <w:szCs w:val="18"/>
        </w:rPr>
        <w:t xml:space="preserve">%), followed by </w:t>
      </w:r>
      <w:r w:rsidR="00FB4C63" w:rsidRPr="00815A79">
        <w:rPr>
          <w:sz w:val="18"/>
          <w:szCs w:val="18"/>
        </w:rPr>
        <w:t xml:space="preserve">Sales workers </w:t>
      </w:r>
      <w:r w:rsidR="00A66924">
        <w:rPr>
          <w:sz w:val="18"/>
          <w:szCs w:val="18"/>
        </w:rPr>
        <w:t>(</w:t>
      </w:r>
      <w:r>
        <w:rPr>
          <w:sz w:val="18"/>
          <w:szCs w:val="18"/>
        </w:rPr>
        <w:t>10.4</w:t>
      </w:r>
      <w:r w:rsidR="00FB4C63">
        <w:rPr>
          <w:sz w:val="18"/>
          <w:szCs w:val="18"/>
        </w:rPr>
        <w:t xml:space="preserve">%), </w:t>
      </w:r>
      <w:r w:rsidR="00A66924">
        <w:rPr>
          <w:sz w:val="18"/>
          <w:szCs w:val="18"/>
        </w:rPr>
        <w:t xml:space="preserve">and then </w:t>
      </w:r>
      <w:r w:rsidR="00127875">
        <w:rPr>
          <w:sz w:val="18"/>
          <w:szCs w:val="18"/>
        </w:rPr>
        <w:t>Clerical and administrative</w:t>
      </w:r>
      <w:r w:rsidR="00A66924">
        <w:rPr>
          <w:sz w:val="18"/>
          <w:szCs w:val="18"/>
        </w:rPr>
        <w:t xml:space="preserve"> workers</w:t>
      </w:r>
      <w:r w:rsidR="00A2728C" w:rsidRPr="00815A79">
        <w:rPr>
          <w:sz w:val="18"/>
          <w:szCs w:val="18"/>
        </w:rPr>
        <w:t xml:space="preserve"> (</w:t>
      </w:r>
      <w:r>
        <w:rPr>
          <w:sz w:val="18"/>
          <w:szCs w:val="18"/>
        </w:rPr>
        <w:t>10.0</w:t>
      </w:r>
      <w:r w:rsidR="00A2728C" w:rsidRPr="00815A79">
        <w:rPr>
          <w:sz w:val="18"/>
          <w:szCs w:val="18"/>
        </w:rPr>
        <w:t xml:space="preserve">%). </w:t>
      </w:r>
    </w:p>
    <w:p w:rsidR="006E5BDA" w:rsidRDefault="0091026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the Darwin region, </w:t>
      </w:r>
      <w:r w:rsidR="00094BDE">
        <w:rPr>
          <w:sz w:val="18"/>
          <w:szCs w:val="18"/>
        </w:rPr>
        <w:t xml:space="preserve">all </w:t>
      </w:r>
      <w:r w:rsidR="00056C18" w:rsidRPr="00CB59F7">
        <w:rPr>
          <w:sz w:val="18"/>
          <w:szCs w:val="18"/>
        </w:rPr>
        <w:t>occupation grou</w:t>
      </w:r>
      <w:r>
        <w:rPr>
          <w:sz w:val="18"/>
          <w:szCs w:val="18"/>
        </w:rPr>
        <w:t>ps</w:t>
      </w:r>
      <w:r w:rsidR="00815A79">
        <w:rPr>
          <w:sz w:val="18"/>
          <w:szCs w:val="18"/>
        </w:rPr>
        <w:t xml:space="preserve"> </w:t>
      </w:r>
      <w:r w:rsidR="00FB4C63">
        <w:rPr>
          <w:sz w:val="18"/>
          <w:szCs w:val="18"/>
        </w:rPr>
        <w:t>recorded in</w:t>
      </w:r>
      <w:r>
        <w:rPr>
          <w:sz w:val="18"/>
          <w:szCs w:val="18"/>
        </w:rPr>
        <w:t>creases</w:t>
      </w:r>
      <w:r w:rsidR="00127875">
        <w:rPr>
          <w:sz w:val="18"/>
          <w:szCs w:val="18"/>
        </w:rPr>
        <w:t xml:space="preserve"> also</w:t>
      </w:r>
      <w:r w:rsidR="00094BDE">
        <w:rPr>
          <w:sz w:val="18"/>
          <w:szCs w:val="18"/>
        </w:rPr>
        <w:t xml:space="preserve">. </w:t>
      </w:r>
      <w:r w:rsidR="0059354B">
        <w:rPr>
          <w:sz w:val="18"/>
          <w:szCs w:val="18"/>
        </w:rPr>
        <w:t>Community and personal service</w:t>
      </w:r>
      <w:r w:rsidR="00815A79">
        <w:rPr>
          <w:sz w:val="18"/>
          <w:szCs w:val="18"/>
        </w:rPr>
        <w:t xml:space="preserve"> workers </w:t>
      </w:r>
      <w:r w:rsidR="00FB4C63">
        <w:rPr>
          <w:sz w:val="18"/>
          <w:szCs w:val="18"/>
        </w:rPr>
        <w:t>reported the largest in</w:t>
      </w:r>
      <w:r w:rsidR="00094BDE">
        <w:rPr>
          <w:sz w:val="18"/>
          <w:szCs w:val="18"/>
        </w:rPr>
        <w:t>crease (</w:t>
      </w:r>
      <w:r w:rsidR="0059354B">
        <w:rPr>
          <w:sz w:val="18"/>
          <w:szCs w:val="18"/>
        </w:rPr>
        <w:t>12.1</w:t>
      </w:r>
      <w:r w:rsidR="00505E10" w:rsidRPr="00CB59F7">
        <w:rPr>
          <w:sz w:val="18"/>
          <w:szCs w:val="18"/>
        </w:rPr>
        <w:t>%)</w:t>
      </w:r>
      <w:r w:rsidR="00056C18" w:rsidRPr="00CB59F7">
        <w:rPr>
          <w:sz w:val="18"/>
          <w:szCs w:val="18"/>
        </w:rPr>
        <w:t xml:space="preserve">, </w:t>
      </w:r>
      <w:r w:rsidR="00815A79">
        <w:rPr>
          <w:sz w:val="18"/>
          <w:szCs w:val="18"/>
        </w:rPr>
        <w:t xml:space="preserve">followed </w:t>
      </w:r>
      <w:r w:rsidR="00DC5152">
        <w:rPr>
          <w:sz w:val="18"/>
          <w:szCs w:val="18"/>
        </w:rPr>
        <w:t xml:space="preserve">by </w:t>
      </w:r>
      <w:r w:rsidR="0009017C">
        <w:rPr>
          <w:sz w:val="18"/>
          <w:szCs w:val="18"/>
        </w:rPr>
        <w:t>Machinery operators and drivers</w:t>
      </w:r>
      <w:r w:rsidR="00A66924">
        <w:rPr>
          <w:sz w:val="18"/>
          <w:szCs w:val="18"/>
        </w:rPr>
        <w:t xml:space="preserve"> (</w:t>
      </w:r>
      <w:r w:rsidR="0059354B">
        <w:rPr>
          <w:sz w:val="18"/>
          <w:szCs w:val="18"/>
        </w:rPr>
        <w:t>11.7</w:t>
      </w:r>
      <w:r w:rsidR="00FB4C63">
        <w:rPr>
          <w:sz w:val="18"/>
          <w:szCs w:val="18"/>
        </w:rPr>
        <w:t xml:space="preserve">%), and then </w:t>
      </w:r>
      <w:r w:rsidR="0059354B">
        <w:rPr>
          <w:sz w:val="18"/>
          <w:szCs w:val="18"/>
        </w:rPr>
        <w:t>Technicians and trade workers</w:t>
      </w:r>
      <w:r w:rsidR="00094BDE">
        <w:rPr>
          <w:sz w:val="18"/>
          <w:szCs w:val="18"/>
        </w:rPr>
        <w:t xml:space="preserve"> (</w:t>
      </w:r>
      <w:r w:rsidR="0059354B">
        <w:rPr>
          <w:sz w:val="18"/>
          <w:szCs w:val="18"/>
        </w:rPr>
        <w:t>10.1</w:t>
      </w:r>
      <w:r w:rsidR="00815A79">
        <w:rPr>
          <w:sz w:val="18"/>
          <w:szCs w:val="18"/>
        </w:rPr>
        <w:t>%</w:t>
      </w:r>
      <w:r w:rsidR="00505E10" w:rsidRPr="00CB59F7">
        <w:rPr>
          <w:sz w:val="18"/>
          <w:szCs w:val="18"/>
        </w:rPr>
        <w:t>).</w:t>
      </w:r>
    </w:p>
    <w:p w:rsidR="00094BDE" w:rsidRPr="00094BDE" w:rsidRDefault="00094BDE" w:rsidP="00094BDE">
      <w:pPr>
        <w:autoSpaceDE/>
        <w:autoSpaceDN/>
        <w:spacing w:after="120" w:line="240" w:lineRule="auto"/>
        <w:ind w:right="-218"/>
        <w:rPr>
          <w:sz w:val="18"/>
          <w:szCs w:val="18"/>
        </w:rPr>
      </w:pP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59354B" w:rsidRPr="0059354B">
        <w:rPr>
          <w:noProof/>
          <w:lang w:eastAsia="en-AU" w:bidi="ar-SA"/>
        </w:rPr>
        <w:drawing>
          <wp:inline distT="0" distB="0" distL="0" distR="0">
            <wp:extent cx="3012440" cy="2091655"/>
            <wp:effectExtent l="0" t="0" r="0" b="4445"/>
            <wp:docPr id="2" name="Picture 2" descr="This chart indicates the following increase and decrease of job vacancies in Darwin and regional NT across all occupations:&#10;Sales workers in Darwin increased to 6.0 per cent. &#10;Sales workers in regional NT increased to 10.4 per cent. &#10;Community and Personal Service Workers in Darwin increased to 12.1 per cent. &#10;Community and Personal Service Workers in regional NT increased 20.9 per cent. &#10;Managers in Darwin increased to 9.9 per cent. &#10;Managers in regional NT decreased to 1.1 per cent. &#10;Professionals in Darwin increased to 8.6 per cent. &#10;Professionals in regional NT increased to 5.8 per cent. &#10;Technicians and Trade Workers in Darwin increased to 10.1 per cent. &#10;Technicians and Trade Workers in regional NT increased to 8.0 per cent. &#10;Clerical and Administrative Workers in Darwin increased to 0.6 per cent. &#10;Clerical and Administrative Workers in regional NT increased to 10.0 per cent.&#10;Labourers in Darwin increased to 6.4 per cent.  &#10;Labourers in regional NT decreased to 5.8 per cent.  &#10;Machinery operators and drivers in Darwin increased to 11.7 per cent. &#10;Machinery operators and drivers in regional NT increased to 9.3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91655"/>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3B2562" w:rsidP="000C3AF7">
      <w:pPr>
        <w:spacing w:after="0" w:line="240" w:lineRule="auto"/>
        <w:ind w:right="-218"/>
        <w:rPr>
          <w:rStyle w:val="Hyperlink"/>
          <w:rFonts w:cs="Arial"/>
          <w:sz w:val="16"/>
          <w:szCs w:val="18"/>
        </w:rPr>
      </w:pPr>
      <w:hyperlink r:id="rId14"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w:t>
      </w:r>
      <w:r w:rsidR="00450607">
        <w:rPr>
          <w:sz w:val="16"/>
          <w:szCs w:val="18"/>
        </w:rPr>
        <w:t>Industry, Tourism and Trade</w:t>
      </w:r>
      <w:r w:rsidRPr="00CB59F7">
        <w:rPr>
          <w:sz w:val="16"/>
          <w:szCs w:val="18"/>
        </w:rPr>
        <w:t xml:space="preserve"> email: </w:t>
      </w:r>
      <w:hyperlink r:id="rId15" w:history="1">
        <w:r w:rsidR="00821A4E" w:rsidRPr="00977803">
          <w:rPr>
            <w:rStyle w:val="Hyperlink"/>
            <w:rFonts w:cs="Arial"/>
            <w:bCs/>
            <w:sz w:val="16"/>
            <w:szCs w:val="18"/>
          </w:rPr>
          <w:t>economicinnovation.itt@nt.gov.au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171C84"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3B2562">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3B2562">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21"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171C84"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3B2562">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3B2562">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24"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1049B0" w:rsidP="00A8258A">
              <w:pPr>
                <w:pStyle w:val="Header"/>
                <w:jc w:val="right"/>
              </w:pPr>
              <w:r>
                <w:t>NT labour market brief – October 2020</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1049B0" w:rsidP="00526BD8">
              <w:pPr>
                <w:pStyle w:val="Title"/>
                <w:ind w:left="-250" w:firstLine="426"/>
              </w:pPr>
              <w:r>
                <w:rPr>
                  <w:rStyle w:val="TitleChar"/>
                  <w:rFonts w:ascii="Ubuntu" w:hAnsi="Ubuntu"/>
                  <w:b/>
                  <w:lang w:val="en-AU"/>
                </w:rPr>
                <w:t>NT labour market brief – October 2020</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23" name="Picture 23"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1F23"/>
    <w:rsid w:val="00024A3F"/>
    <w:rsid w:val="00027DFC"/>
    <w:rsid w:val="00031366"/>
    <w:rsid w:val="00056C18"/>
    <w:rsid w:val="000577E4"/>
    <w:rsid w:val="00063E10"/>
    <w:rsid w:val="00073905"/>
    <w:rsid w:val="000816F4"/>
    <w:rsid w:val="0009017C"/>
    <w:rsid w:val="00094BDE"/>
    <w:rsid w:val="000B2709"/>
    <w:rsid w:val="000C10BC"/>
    <w:rsid w:val="000C3AF7"/>
    <w:rsid w:val="000D633E"/>
    <w:rsid w:val="000E4C83"/>
    <w:rsid w:val="00102E55"/>
    <w:rsid w:val="001033DB"/>
    <w:rsid w:val="00103AFC"/>
    <w:rsid w:val="001049B0"/>
    <w:rsid w:val="001107B7"/>
    <w:rsid w:val="00113951"/>
    <w:rsid w:val="001147CF"/>
    <w:rsid w:val="001252C6"/>
    <w:rsid w:val="001262FA"/>
    <w:rsid w:val="00127875"/>
    <w:rsid w:val="0014599A"/>
    <w:rsid w:val="00146859"/>
    <w:rsid w:val="00150654"/>
    <w:rsid w:val="00150A18"/>
    <w:rsid w:val="00151B99"/>
    <w:rsid w:val="00160EA0"/>
    <w:rsid w:val="00171C84"/>
    <w:rsid w:val="00171CCC"/>
    <w:rsid w:val="00174EA4"/>
    <w:rsid w:val="0019481D"/>
    <w:rsid w:val="001A13B9"/>
    <w:rsid w:val="001C277B"/>
    <w:rsid w:val="001D585B"/>
    <w:rsid w:val="001E41AC"/>
    <w:rsid w:val="001F2713"/>
    <w:rsid w:val="001F46A2"/>
    <w:rsid w:val="00206EAD"/>
    <w:rsid w:val="0021095B"/>
    <w:rsid w:val="00214436"/>
    <w:rsid w:val="0022438A"/>
    <w:rsid w:val="0022652C"/>
    <w:rsid w:val="002301A0"/>
    <w:rsid w:val="002312DA"/>
    <w:rsid w:val="002442B9"/>
    <w:rsid w:val="00250881"/>
    <w:rsid w:val="0025497A"/>
    <w:rsid w:val="00254DE1"/>
    <w:rsid w:val="002608B7"/>
    <w:rsid w:val="00262C88"/>
    <w:rsid w:val="002817E4"/>
    <w:rsid w:val="00291F56"/>
    <w:rsid w:val="002929D7"/>
    <w:rsid w:val="002A106C"/>
    <w:rsid w:val="002A4CD4"/>
    <w:rsid w:val="002C270F"/>
    <w:rsid w:val="002D4D8C"/>
    <w:rsid w:val="002F30D3"/>
    <w:rsid w:val="002F3953"/>
    <w:rsid w:val="002F5337"/>
    <w:rsid w:val="00323B70"/>
    <w:rsid w:val="00324E0E"/>
    <w:rsid w:val="00335C43"/>
    <w:rsid w:val="00350A64"/>
    <w:rsid w:val="00351BA5"/>
    <w:rsid w:val="00374F93"/>
    <w:rsid w:val="0039239C"/>
    <w:rsid w:val="003A466F"/>
    <w:rsid w:val="003B2562"/>
    <w:rsid w:val="003C1C82"/>
    <w:rsid w:val="003D1CEE"/>
    <w:rsid w:val="003D1F36"/>
    <w:rsid w:val="003D589C"/>
    <w:rsid w:val="00413C94"/>
    <w:rsid w:val="004308E0"/>
    <w:rsid w:val="0044395E"/>
    <w:rsid w:val="00450607"/>
    <w:rsid w:val="00453BBE"/>
    <w:rsid w:val="004A2C95"/>
    <w:rsid w:val="004B0580"/>
    <w:rsid w:val="004B7877"/>
    <w:rsid w:val="004C32D1"/>
    <w:rsid w:val="004D33C2"/>
    <w:rsid w:val="004E1B1E"/>
    <w:rsid w:val="004F0FED"/>
    <w:rsid w:val="004F7026"/>
    <w:rsid w:val="00505E10"/>
    <w:rsid w:val="00525324"/>
    <w:rsid w:val="00525BE1"/>
    <w:rsid w:val="00526BD8"/>
    <w:rsid w:val="00531C38"/>
    <w:rsid w:val="005607EC"/>
    <w:rsid w:val="005745C0"/>
    <w:rsid w:val="0058484C"/>
    <w:rsid w:val="0059354B"/>
    <w:rsid w:val="005A277B"/>
    <w:rsid w:val="005B1AED"/>
    <w:rsid w:val="005C01FA"/>
    <w:rsid w:val="005C1A41"/>
    <w:rsid w:val="005C2B54"/>
    <w:rsid w:val="005E0D61"/>
    <w:rsid w:val="005E68B3"/>
    <w:rsid w:val="005F0F26"/>
    <w:rsid w:val="00602BEA"/>
    <w:rsid w:val="00623913"/>
    <w:rsid w:val="0062433C"/>
    <w:rsid w:val="00627844"/>
    <w:rsid w:val="00630F92"/>
    <w:rsid w:val="00674233"/>
    <w:rsid w:val="006754D2"/>
    <w:rsid w:val="00683FC2"/>
    <w:rsid w:val="006856A1"/>
    <w:rsid w:val="006941FC"/>
    <w:rsid w:val="006A2FB6"/>
    <w:rsid w:val="006B48D9"/>
    <w:rsid w:val="006C2623"/>
    <w:rsid w:val="006D4F0A"/>
    <w:rsid w:val="006E5BDA"/>
    <w:rsid w:val="006E7AAE"/>
    <w:rsid w:val="00710498"/>
    <w:rsid w:val="00711005"/>
    <w:rsid w:val="00717DEC"/>
    <w:rsid w:val="007238F2"/>
    <w:rsid w:val="00744025"/>
    <w:rsid w:val="00752C38"/>
    <w:rsid w:val="00767908"/>
    <w:rsid w:val="0079192D"/>
    <w:rsid w:val="007928A8"/>
    <w:rsid w:val="007A7C02"/>
    <w:rsid w:val="007B37A6"/>
    <w:rsid w:val="007B6E24"/>
    <w:rsid w:val="007C13F0"/>
    <w:rsid w:val="007C2B36"/>
    <w:rsid w:val="007F2C37"/>
    <w:rsid w:val="00803A96"/>
    <w:rsid w:val="00815A79"/>
    <w:rsid w:val="00821A4E"/>
    <w:rsid w:val="00823A2B"/>
    <w:rsid w:val="0083587B"/>
    <w:rsid w:val="0083740B"/>
    <w:rsid w:val="0084091D"/>
    <w:rsid w:val="00844D59"/>
    <w:rsid w:val="00853E43"/>
    <w:rsid w:val="0085694C"/>
    <w:rsid w:val="00856E75"/>
    <w:rsid w:val="00857088"/>
    <w:rsid w:val="008570AE"/>
    <w:rsid w:val="008779B1"/>
    <w:rsid w:val="00882E2F"/>
    <w:rsid w:val="008929B7"/>
    <w:rsid w:val="008A02F9"/>
    <w:rsid w:val="008A2161"/>
    <w:rsid w:val="008A3105"/>
    <w:rsid w:val="008B1038"/>
    <w:rsid w:val="008B510D"/>
    <w:rsid w:val="008B54E8"/>
    <w:rsid w:val="008B5649"/>
    <w:rsid w:val="008C575F"/>
    <w:rsid w:val="008D4ACD"/>
    <w:rsid w:val="008D4AF4"/>
    <w:rsid w:val="008D6E4B"/>
    <w:rsid w:val="008D7B82"/>
    <w:rsid w:val="008E56CA"/>
    <w:rsid w:val="008F157C"/>
    <w:rsid w:val="00907B3D"/>
    <w:rsid w:val="0091026C"/>
    <w:rsid w:val="009136DE"/>
    <w:rsid w:val="00931713"/>
    <w:rsid w:val="009513F1"/>
    <w:rsid w:val="00953F0B"/>
    <w:rsid w:val="00970184"/>
    <w:rsid w:val="00997AE3"/>
    <w:rsid w:val="009D1F36"/>
    <w:rsid w:val="009D4C93"/>
    <w:rsid w:val="009D540D"/>
    <w:rsid w:val="009D57FD"/>
    <w:rsid w:val="009E5A3C"/>
    <w:rsid w:val="009F2946"/>
    <w:rsid w:val="009F508B"/>
    <w:rsid w:val="00A14CBF"/>
    <w:rsid w:val="00A2728C"/>
    <w:rsid w:val="00A27872"/>
    <w:rsid w:val="00A31E76"/>
    <w:rsid w:val="00A44E53"/>
    <w:rsid w:val="00A450E9"/>
    <w:rsid w:val="00A4710D"/>
    <w:rsid w:val="00A61C75"/>
    <w:rsid w:val="00A6453E"/>
    <w:rsid w:val="00A65AA9"/>
    <w:rsid w:val="00A66924"/>
    <w:rsid w:val="00A759A8"/>
    <w:rsid w:val="00A8258A"/>
    <w:rsid w:val="00A832D5"/>
    <w:rsid w:val="00AB76AC"/>
    <w:rsid w:val="00AD5B6C"/>
    <w:rsid w:val="00AD6A0D"/>
    <w:rsid w:val="00B06EF5"/>
    <w:rsid w:val="00B10020"/>
    <w:rsid w:val="00B10AE4"/>
    <w:rsid w:val="00B15D15"/>
    <w:rsid w:val="00B31227"/>
    <w:rsid w:val="00B33D31"/>
    <w:rsid w:val="00B36DBD"/>
    <w:rsid w:val="00B37BFC"/>
    <w:rsid w:val="00B40053"/>
    <w:rsid w:val="00B416E4"/>
    <w:rsid w:val="00B426BE"/>
    <w:rsid w:val="00B54C08"/>
    <w:rsid w:val="00B57D42"/>
    <w:rsid w:val="00B715A1"/>
    <w:rsid w:val="00B77A20"/>
    <w:rsid w:val="00B83BA3"/>
    <w:rsid w:val="00B907BC"/>
    <w:rsid w:val="00BA2A27"/>
    <w:rsid w:val="00BE40FD"/>
    <w:rsid w:val="00C2216D"/>
    <w:rsid w:val="00C449EC"/>
    <w:rsid w:val="00C44E36"/>
    <w:rsid w:val="00C61D4B"/>
    <w:rsid w:val="00C736DB"/>
    <w:rsid w:val="00C836FA"/>
    <w:rsid w:val="00CB32C1"/>
    <w:rsid w:val="00CB59F7"/>
    <w:rsid w:val="00CB7D52"/>
    <w:rsid w:val="00CC6185"/>
    <w:rsid w:val="00CC6244"/>
    <w:rsid w:val="00CD18DA"/>
    <w:rsid w:val="00CE381A"/>
    <w:rsid w:val="00CE6F70"/>
    <w:rsid w:val="00CF2D29"/>
    <w:rsid w:val="00D25574"/>
    <w:rsid w:val="00D34DC3"/>
    <w:rsid w:val="00D440D0"/>
    <w:rsid w:val="00D66E52"/>
    <w:rsid w:val="00D676E6"/>
    <w:rsid w:val="00D8075E"/>
    <w:rsid w:val="00D87101"/>
    <w:rsid w:val="00D913FF"/>
    <w:rsid w:val="00DA2F1A"/>
    <w:rsid w:val="00DB11FC"/>
    <w:rsid w:val="00DB4D57"/>
    <w:rsid w:val="00DB6161"/>
    <w:rsid w:val="00DC5152"/>
    <w:rsid w:val="00DC70C6"/>
    <w:rsid w:val="00DC76E1"/>
    <w:rsid w:val="00DE402B"/>
    <w:rsid w:val="00DF135D"/>
    <w:rsid w:val="00DF1F7D"/>
    <w:rsid w:val="00DF498F"/>
    <w:rsid w:val="00E01485"/>
    <w:rsid w:val="00E03CF6"/>
    <w:rsid w:val="00E147D6"/>
    <w:rsid w:val="00E206D4"/>
    <w:rsid w:val="00E269CB"/>
    <w:rsid w:val="00E417E8"/>
    <w:rsid w:val="00E45869"/>
    <w:rsid w:val="00E45B00"/>
    <w:rsid w:val="00E50E18"/>
    <w:rsid w:val="00E63C17"/>
    <w:rsid w:val="00E71448"/>
    <w:rsid w:val="00E808ED"/>
    <w:rsid w:val="00E92090"/>
    <w:rsid w:val="00EA42A6"/>
    <w:rsid w:val="00EB1CDA"/>
    <w:rsid w:val="00EC1476"/>
    <w:rsid w:val="00EC7B60"/>
    <w:rsid w:val="00ED0003"/>
    <w:rsid w:val="00EE2A94"/>
    <w:rsid w:val="00EE5157"/>
    <w:rsid w:val="00EF35D7"/>
    <w:rsid w:val="00F141B4"/>
    <w:rsid w:val="00F1697B"/>
    <w:rsid w:val="00F1713D"/>
    <w:rsid w:val="00F21578"/>
    <w:rsid w:val="00F447BE"/>
    <w:rsid w:val="00F561D6"/>
    <w:rsid w:val="00F70946"/>
    <w:rsid w:val="00F958BE"/>
    <w:rsid w:val="00F95BFA"/>
    <w:rsid w:val="00FA6E45"/>
    <w:rsid w:val="00FB2417"/>
    <w:rsid w:val="00FB4C63"/>
    <w:rsid w:val="00FB7512"/>
    <w:rsid w:val="00FD1137"/>
    <w:rsid w:val="00FD3E1F"/>
    <w:rsid w:val="00FD7495"/>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itt@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B437-4984-41FF-8DDD-CEAE7A7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3</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NT labour market brief – October 2020</vt:lpstr>
    </vt:vector>
  </TitlesOfParts>
  <Company>Department of Trade, Business and Innovation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October 2020</dc:title>
  <dc:creator>Northern Territory Government</dc:creator>
  <cp:lastModifiedBy>Marlene Woods</cp:lastModifiedBy>
  <cp:revision>5</cp:revision>
  <cp:lastPrinted>2020-11-19T03:07:00Z</cp:lastPrinted>
  <dcterms:created xsi:type="dcterms:W3CDTF">2020-11-19T02:45:00Z</dcterms:created>
  <dcterms:modified xsi:type="dcterms:W3CDTF">2020-11-19T05:23:00Z</dcterms:modified>
</cp:coreProperties>
</file>