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31904" w:rsidP="00293A72">
      <w:pPr>
        <w:pStyle w:val="Heading1"/>
      </w:pPr>
      <w:r>
        <w:t xml:space="preserve">Licence Condition </w:t>
      </w:r>
      <w:proofErr w:type="spellStart"/>
      <w:r>
        <w:t>Rorkes</w:t>
      </w:r>
      <w:proofErr w:type="spellEnd"/>
      <w:r>
        <w:t xml:space="preserve"> Drift “Footpath” Area</w:t>
      </w:r>
    </w:p>
    <w:p w:rsidR="0075640C" w:rsidRDefault="00B31904" w:rsidP="00B31904">
      <w:pPr>
        <w:pStyle w:val="Tabformatting"/>
      </w:pPr>
      <w:r>
        <w:rPr>
          <w:b/>
        </w:rPr>
        <w:t>Heard Before</w:t>
      </w:r>
      <w:r w:rsidR="00CC3330" w:rsidRPr="001620E9">
        <w:t>:</w:t>
      </w:r>
      <w:r w:rsidR="00CC3330" w:rsidRPr="001620E9">
        <w:tab/>
      </w:r>
      <w:r>
        <w:t>Mr P Allen (Chairman)</w:t>
      </w:r>
    </w:p>
    <w:p w:rsidR="00B31904" w:rsidRPr="00B31904" w:rsidRDefault="00B31904" w:rsidP="00B31904">
      <w:pPr>
        <w:pStyle w:val="Tabformatting"/>
      </w:pPr>
      <w:r>
        <w:rPr>
          <w:b/>
        </w:rPr>
        <w:t>Heard on</w:t>
      </w:r>
      <w:r>
        <w:t>:</w:t>
      </w:r>
      <w:r>
        <w:tab/>
        <w:t>30 May 2002</w:t>
      </w:r>
    </w:p>
    <w:p w:rsidR="007D7966" w:rsidRDefault="007D7966" w:rsidP="001620E9">
      <w:pPr>
        <w:pStyle w:val="BottomLine"/>
      </w:pPr>
    </w:p>
    <w:p w:rsidR="00B31904" w:rsidRDefault="00B31904" w:rsidP="00B31904">
      <w:pPr>
        <w:pStyle w:val="ListParagraph"/>
        <w:numPr>
          <w:ilvl w:val="0"/>
          <w:numId w:val="44"/>
        </w:numPr>
      </w:pPr>
      <w:r>
        <w:t>Trading hours, subject to any exceptions in the Licence, shall be 1130 to 0200 the following day seven days a week.</w:t>
      </w:r>
    </w:p>
    <w:p w:rsidR="00B31904" w:rsidRDefault="00B31904" w:rsidP="00B31904">
      <w:pPr>
        <w:pStyle w:val="ListParagraph"/>
        <w:numPr>
          <w:ilvl w:val="0"/>
          <w:numId w:val="44"/>
        </w:numPr>
      </w:pPr>
      <w:r>
        <w:t>The Area shall at all times have the appearance of a dining area.  In the event of any complaint placed before the Commission arising from the appearance of the Area the Commission will consider the arrangement and appearance of the tables and chairs within the Area, the availability of meals and/or snack foods, the ready availability of menus whether for meals or snack foods and the deployment of the Licensee’s staff for the service of the Area and any other matters the Commission considers to be relevant to the complaint.</w:t>
      </w:r>
    </w:p>
    <w:p w:rsidR="00B31904" w:rsidRDefault="00B31904" w:rsidP="00B31904">
      <w:pPr>
        <w:pStyle w:val="ListParagraph"/>
        <w:numPr>
          <w:ilvl w:val="0"/>
          <w:numId w:val="44"/>
        </w:numPr>
      </w:pPr>
      <w:r>
        <w:t xml:space="preserve">Patrons in the outdoor area to be seated. </w:t>
      </w:r>
    </w:p>
    <w:p w:rsidR="00B31904" w:rsidRDefault="00B31904" w:rsidP="00B31904">
      <w:pPr>
        <w:pStyle w:val="ListParagraph"/>
        <w:numPr>
          <w:ilvl w:val="0"/>
          <w:numId w:val="44"/>
        </w:numPr>
      </w:pPr>
      <w:r>
        <w:t>The Area shall be clearly and physically delineated from the public footpath by means of permanent and/or semi-permanent installations including trees and shrubbery, and appropriate lighting. The delineation shall be subject to the approval of the Director of Licensing who shall have regard to the advice of Police and Officers of the Darwin City Council.</w:t>
      </w:r>
    </w:p>
    <w:p w:rsidR="00B31904" w:rsidRDefault="00B31904" w:rsidP="00B31904">
      <w:pPr>
        <w:pStyle w:val="ListParagraph"/>
        <w:numPr>
          <w:ilvl w:val="0"/>
          <w:numId w:val="44"/>
        </w:numPr>
      </w:pPr>
      <w:r>
        <w:t>The service of food and liquor in the area shall predominantly be by way of table service by staff of the Licensee. The Licensee shall use its best endeavours to ensure that service in the outside area is by way of table service.  Best endeavours shall include but not be limited to the deployment of sufficient staff to the Area.</w:t>
      </w:r>
    </w:p>
    <w:p w:rsidR="00B31904" w:rsidRDefault="00B31904" w:rsidP="00B31904">
      <w:pPr>
        <w:pStyle w:val="ListParagraph"/>
        <w:numPr>
          <w:ilvl w:val="0"/>
          <w:numId w:val="44"/>
        </w:numPr>
      </w:pPr>
      <w:r>
        <w:t>The Licensee shall take all measures necessary to ensure that the public footpath contiguous to the Area is not obstructed in any manner at any time.</w:t>
      </w:r>
    </w:p>
    <w:p w:rsidR="00B31904" w:rsidRDefault="00B31904" w:rsidP="00B31904">
      <w:pPr>
        <w:pStyle w:val="ListParagraph"/>
        <w:numPr>
          <w:ilvl w:val="0"/>
          <w:numId w:val="44"/>
        </w:numPr>
      </w:pPr>
      <w:r>
        <w:t>The Licensee shall not permit or suffer conduct in the Area which would impact on the amenity of the environs.</w:t>
      </w:r>
      <w:bookmarkStart w:id="0" w:name="_GoBack"/>
      <w:bookmarkEnd w:id="0"/>
    </w:p>
    <w:p w:rsidR="00B31904" w:rsidRDefault="00B31904" w:rsidP="00B31904">
      <w:pPr>
        <w:pStyle w:val="ListParagraph"/>
        <w:numPr>
          <w:ilvl w:val="0"/>
          <w:numId w:val="44"/>
        </w:numPr>
      </w:pPr>
      <w:r>
        <w:t>The Licensee shall not permit or suffer the emanation of noise from the Area of such nature or at such levels to as cause unreasonable disturbance to the ordinary comfort of lawful occupiers of any residential premises</w:t>
      </w:r>
    </w:p>
    <w:p w:rsidR="00B31904" w:rsidRDefault="00B31904" w:rsidP="00B31904">
      <w:pPr>
        <w:pStyle w:val="ListParagraph"/>
        <w:numPr>
          <w:ilvl w:val="0"/>
          <w:numId w:val="44"/>
        </w:numPr>
      </w:pPr>
      <w:r>
        <w:t>The foregoing conditions shall be subject to review on or about 30 November 2002.  In his conduct of the review and the framing of recommendations arising therefrom, the Director of Licensing shall have regard to the advice of the Police and the Licensee.</w:t>
      </w:r>
    </w:p>
    <w:p w:rsidR="002B0122" w:rsidRDefault="00B31904"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3190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347A8A"/>
    <w:multiLevelType w:val="singleLevel"/>
    <w:tmpl w:val="0C09000F"/>
    <w:lvl w:ilvl="0">
      <w:start w:val="1"/>
      <w:numFmt w:val="decimal"/>
      <w:lvlText w:val="%1."/>
      <w:lvlJc w:val="left"/>
      <w:pPr>
        <w:tabs>
          <w:tab w:val="num" w:pos="360"/>
        </w:tabs>
        <w:ind w:left="360" w:hanging="360"/>
      </w:p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9C40EA"/>
    <w:multiLevelType w:val="hybridMultilevel"/>
    <w:tmpl w:val="117C2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31904"/>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2002-05-29T14:30:00+00:00</Hearing_x0020_Date>
    <Decision_x0020_Category xmlns="28e3188d-fccf-4e87-a6b6-2e446be4517c">Liquor</Decision_x0020_Category>
    <_dlc_DocId xmlns="28e3188d-fccf-4e87-a6b6-2e446be4517c">2AXQX2YYQNYC-455-484</_dlc_DocId>
    <_dlc_DocIdUrl xmlns="28e3188d-fccf-4e87-a6b6-2e446be4517c">
      <Url>http://www.dob.nt.gov.au/gambling-licensing/decisions/hearings-decisions/_layouts/DocIdRedir.aspx?ID=2AXQX2YYQNYC-455-484</Url>
      <Description>2AXQX2YYQNYC-455-484</Description>
    </_dlc_DocIdUrl>
  </documentManagement>
</p:properties>
</file>

<file path=customXml/itemProps1.xml><?xml version="1.0" encoding="utf-8"?>
<ds:datastoreItem xmlns:ds="http://schemas.openxmlformats.org/officeDocument/2006/customXml" ds:itemID="{9D8AB264-C392-4DF0-9D29-44724F1345B4}"/>
</file>

<file path=customXml/itemProps2.xml><?xml version="1.0" encoding="utf-8"?>
<ds:datastoreItem xmlns:ds="http://schemas.openxmlformats.org/officeDocument/2006/customXml" ds:itemID="{2006C71A-ADA4-41F3-849E-719845092D8D}"/>
</file>

<file path=customXml/itemProps3.xml><?xml version="1.0" encoding="utf-8"?>
<ds:datastoreItem xmlns:ds="http://schemas.openxmlformats.org/officeDocument/2006/customXml" ds:itemID="{DBD2A25B-BC8A-4EF0-A3F1-03D5954ACE0F}"/>
</file>

<file path=customXml/itemProps4.xml><?xml version="1.0" encoding="utf-8"?>
<ds:datastoreItem xmlns:ds="http://schemas.openxmlformats.org/officeDocument/2006/customXml" ds:itemID="{8B843B89-0811-4684-ABE6-A98DF886DFAA}"/>
</file>

<file path=docProps/app.xml><?xml version="1.0" encoding="utf-8"?>
<Properties xmlns="http://schemas.openxmlformats.org/officeDocument/2006/extended-properties" xmlns:vt="http://schemas.openxmlformats.org/officeDocument/2006/docPropsVTypes">
  <Template>Normal.dotm</Template>
  <TotalTime>50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Rorkes Drift Alfresco 110</dc:title>
  <dc:subject/>
  <dc:creator>Madeline Cvirn</dc:creator>
  <cp:keywords/>
  <dc:description/>
  <cp:lastModifiedBy>Madeline Cvirn</cp:lastModifiedBy>
  <cp:revision>17</cp:revision>
  <dcterms:created xsi:type="dcterms:W3CDTF">2013-01-07T22:55:00Z</dcterms:created>
  <dcterms:modified xsi:type="dcterms:W3CDTF">2013-01-23T04:48:00Z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4b2367f7-1290-4c34-8163-8383ec53140f</vt:lpwstr>
  </property>
</Properties>
</file>